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Финансовый отчет</w:t>
      </w:r>
    </w:p>
    <w:p>
      <w:pPr>
        <w:pStyle w:val="Heading1"/>
      </w:pPr>
      <w:r>
        <w:t>Финансовый отчет за 2023 год</w:t>
      </w:r>
    </w:p>
    <w:p>
      <w:r>
        <w:t>В этом документе представлены основные финансовые показатели компании.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Квартал</w:t>
            </w:r>
          </w:p>
        </w:tc>
        <w:tc>
          <w:tcPr>
            <w:tcW w:type="dxa" w:w="2160"/>
          </w:tcPr>
          <w:p>
            <w:r>
              <w:t>Доходы (млн руб.)</w:t>
            </w:r>
          </w:p>
        </w:tc>
        <w:tc>
          <w:tcPr>
            <w:tcW w:type="dxa" w:w="2160"/>
          </w:tcPr>
          <w:p>
            <w:r>
              <w:t>Расходы (млн руб.)</w:t>
            </w:r>
          </w:p>
        </w:tc>
        <w:tc>
          <w:tcPr>
            <w:tcW w:type="dxa" w:w="2160"/>
          </w:tcPr>
          <w:p>
            <w:r>
              <w:t>Прибыль (млн руб.)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Итого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</w:tbl>
    <w:p>
      <w:r>
        <w:t>Как видно из таблицы, компания показала стабильный рост прибыли в течение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