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20"/>
        <w:jc w:val="center"/>
        <w:rPr>
          <w:b/>
          <w:b/>
          <w:bCs/>
          <w:sz w:val="24"/>
          <w:szCs w:val="24"/>
        </w:rPr>
      </w:pPr>
      <w:r>
        <w:rPr>
          <w:b/>
          <w:bCs/>
          <w:sz w:val="24"/>
          <w:szCs w:val="24"/>
        </w:rPr>
        <w:t>別添　個人情報の安全管理措置</w:t>
      </w:r>
    </w:p>
    <w:p>
      <w:pPr>
        <w:pStyle w:val="Normal"/>
        <w:spacing w:lineRule="exact" w:line="320"/>
        <w:rPr/>
      </w:pPr>
      <w:r>
        <w:rPr/>
      </w:r>
    </w:p>
    <w:p>
      <w:pPr>
        <w:pStyle w:val="Normal"/>
        <w:spacing w:lineRule="exact" w:line="320"/>
        <w:rPr/>
      </w:pPr>
      <w:r>
        <w:rPr/>
        <w:t>当社は、利用者等の個人情報を正確かつ最新の内容に保つよう努めるとともに、基本方針及び個人情報の取扱規程を策定して、以下の必要かつ適切な安全管理措置を講じます。</w:t>
      </w:r>
    </w:p>
    <w:p>
      <w:pPr>
        <w:pStyle w:val="Normal"/>
        <w:spacing w:lineRule="exact" w:line="320"/>
        <w:rPr/>
      </w:pPr>
      <w:r>
        <w:rPr/>
      </w:r>
    </w:p>
    <w:p>
      <w:pPr>
        <w:pStyle w:val="ListParagraph"/>
        <w:numPr>
          <w:ilvl w:val="0"/>
          <w:numId w:val="1"/>
        </w:numPr>
        <w:spacing w:lineRule="exact" w:line="320"/>
        <w:rPr/>
      </w:pPr>
      <w:r>
        <w:rPr/>
        <w:t>基本方針の策定</w:t>
      </w:r>
    </w:p>
    <w:p>
      <w:pPr>
        <w:pStyle w:val="Normal"/>
        <w:spacing w:lineRule="exact" w:line="320"/>
        <w:ind w:left="210" w:hanging="0"/>
        <w:rPr/>
      </w:pPr>
      <w:r>
        <w:rPr/>
        <w:t>個人情報の適正な取扱いの確保のために、関係法令・ガイドライン等の遵守、質問及び苦情処理の窓口等について基本方針を策定する。</w:t>
      </w:r>
    </w:p>
    <w:p>
      <w:pPr>
        <w:pStyle w:val="Normal"/>
        <w:spacing w:lineRule="exact" w:line="320"/>
        <w:rPr/>
      </w:pPr>
      <w:r>
        <w:rPr/>
      </w:r>
    </w:p>
    <w:p>
      <w:pPr>
        <w:pStyle w:val="ListParagraph"/>
        <w:numPr>
          <w:ilvl w:val="0"/>
          <w:numId w:val="1"/>
        </w:numPr>
        <w:spacing w:lineRule="exact" w:line="320"/>
        <w:rPr/>
      </w:pPr>
      <w:r>
        <w:rPr/>
        <w:t>個人情報の取扱いに係る規律の整備</w:t>
      </w:r>
    </w:p>
    <w:p>
      <w:pPr>
        <w:pStyle w:val="Normal"/>
        <w:spacing w:lineRule="exact" w:line="320"/>
        <w:ind w:left="210" w:hanging="0"/>
        <w:rPr/>
      </w:pPr>
      <w:r>
        <w:rPr/>
        <w:t>取得、利用、保存等を行う場合の基本的な取扱方法を整備する。</w:t>
      </w:r>
    </w:p>
    <w:p>
      <w:pPr>
        <w:pStyle w:val="Normal"/>
        <w:spacing w:lineRule="exact" w:line="320"/>
        <w:rPr/>
      </w:pPr>
      <w:r>
        <w:rPr/>
      </w:r>
    </w:p>
    <w:p>
      <w:pPr>
        <w:pStyle w:val="ListParagraph"/>
        <w:numPr>
          <w:ilvl w:val="0"/>
          <w:numId w:val="1"/>
        </w:numPr>
        <w:spacing w:lineRule="exact" w:line="320"/>
        <w:rPr/>
      </w:pPr>
      <w:r>
        <w:rPr/>
        <w:t>組織的安全管理措置</w:t>
      </w:r>
    </w:p>
    <w:p>
      <w:pPr>
        <w:pStyle w:val="Normal"/>
        <w:spacing w:lineRule="exact" w:line="320"/>
        <w:ind w:left="210" w:hanging="210"/>
        <w:rPr/>
      </w:pPr>
      <w:r>
        <w:rPr/>
        <w:t>・個人情報を取り扱う従業者が複数いる場合、責任ある立場の者とその他の者を区分する。</w:t>
      </w:r>
    </w:p>
    <w:p>
      <w:pPr>
        <w:pStyle w:val="Normal"/>
        <w:spacing w:lineRule="exact" w:line="320"/>
        <w:ind w:left="210" w:hanging="210"/>
        <w:rPr/>
      </w:pPr>
      <w:r>
        <w:rPr/>
        <w:t>・あらかじめ整備した基取扱方法に従って個人情報が取り扱われていることを、責任ある立場の者が確認する。</w:t>
      </w:r>
    </w:p>
    <w:p>
      <w:pPr>
        <w:pStyle w:val="Normal"/>
        <w:spacing w:lineRule="exact" w:line="320"/>
        <w:ind w:left="210" w:hanging="210"/>
        <w:rPr/>
      </w:pPr>
      <w:r>
        <w:rPr/>
        <w:t>・漏えい事案等に対応する体制を整備する。</w:t>
      </w:r>
    </w:p>
    <w:p>
      <w:pPr>
        <w:pStyle w:val="Normal"/>
        <w:spacing w:lineRule="exact" w:line="320"/>
        <w:ind w:left="210" w:hanging="210"/>
        <w:rPr/>
      </w:pPr>
      <w:r>
        <w:rPr/>
        <w:t>・責任ある立場の者が、個人情報の取扱状況について、定期的に点検する。</w:t>
      </w:r>
    </w:p>
    <w:p>
      <w:pPr>
        <w:pStyle w:val="Normal"/>
        <w:spacing w:lineRule="exact" w:line="320"/>
        <w:rPr/>
      </w:pPr>
      <w:r>
        <w:rPr/>
      </w:r>
    </w:p>
    <w:p>
      <w:pPr>
        <w:pStyle w:val="ListParagraph"/>
        <w:numPr>
          <w:ilvl w:val="0"/>
          <w:numId w:val="1"/>
        </w:numPr>
        <w:spacing w:lineRule="exact" w:line="320"/>
        <w:rPr/>
      </w:pPr>
      <w:r>
        <w:rPr/>
        <w:t>人的安全管理措置</w:t>
      </w:r>
    </w:p>
    <w:p>
      <w:pPr>
        <w:pStyle w:val="Normal"/>
        <w:spacing w:lineRule="exact" w:line="320"/>
        <w:ind w:left="210" w:hanging="210"/>
        <w:rPr/>
      </w:pPr>
      <w:r>
        <w:rPr/>
        <w:t>・個人情報の取扱いに関する留意事項について、従業者への周知徹底、教育等を行う。</w:t>
      </w:r>
    </w:p>
    <w:p>
      <w:pPr>
        <w:pStyle w:val="Normal"/>
        <w:spacing w:lineRule="exact" w:line="320"/>
        <w:ind w:left="210" w:hanging="210"/>
        <w:rPr/>
      </w:pPr>
      <w:r>
        <w:rPr/>
        <w:t>・個人情報の秘密保持に関する事項を就業規則等に記載する。</w:t>
      </w:r>
    </w:p>
    <w:p>
      <w:pPr>
        <w:pStyle w:val="Normal"/>
        <w:spacing w:lineRule="exact" w:line="320"/>
        <w:rPr/>
      </w:pPr>
      <w:r>
        <w:rPr/>
      </w:r>
    </w:p>
    <w:p>
      <w:pPr>
        <w:pStyle w:val="ListParagraph"/>
        <w:numPr>
          <w:ilvl w:val="0"/>
          <w:numId w:val="1"/>
        </w:numPr>
        <w:spacing w:lineRule="exact" w:line="320"/>
        <w:rPr/>
      </w:pPr>
      <w:r>
        <w:rPr/>
        <w:t>物理的安全管理措置</w:t>
      </w:r>
    </w:p>
    <w:p>
      <w:pPr>
        <w:pStyle w:val="Normal"/>
        <w:spacing w:lineRule="exact" w:line="320"/>
        <w:ind w:left="210" w:hanging="210"/>
        <w:rPr/>
      </w:pPr>
      <w:r>
        <w:rPr/>
        <w:t>・個人情報を取り扱うことのできる従業者及び本人以外が容易に個人情報を閲覧等できないような措置を講ずる。</w:t>
      </w:r>
    </w:p>
    <w:p>
      <w:pPr>
        <w:pStyle w:val="Normal"/>
        <w:spacing w:lineRule="exact" w:line="320"/>
        <w:ind w:left="210" w:hanging="210"/>
        <w:rPr/>
      </w:pPr>
      <w:r>
        <w:rPr/>
        <w:t>・個人情報を取り扱う機器や個人情報が記録された電子媒体、個人情報が記載された書類等を、施錠できるキャビネット・書庫等に保管する。</w:t>
      </w:r>
    </w:p>
    <w:p>
      <w:pPr>
        <w:pStyle w:val="Normal"/>
        <w:spacing w:lineRule="exact" w:line="320"/>
        <w:ind w:left="210" w:hanging="210"/>
        <w:rPr/>
      </w:pPr>
      <w:r>
        <w:rPr/>
        <w:t>・個人情報が記録された電子媒体又は個人情報が記載された書類等を持ち運ぶ場合、パスワードを設定するなど、紛失・盗難等を防ぐための安全な方策を講ずる。</w:t>
      </w:r>
    </w:p>
    <w:p>
      <w:pPr>
        <w:pStyle w:val="Normal"/>
        <w:spacing w:lineRule="exact" w:line="320"/>
        <w:ind w:left="210" w:hanging="210"/>
        <w:rPr/>
      </w:pPr>
      <w:r>
        <w:rPr/>
        <w:t>・個人情報を削除し、又は、個人情報が記録された機器、電子媒体等を廃棄する場合、容易に復元不可能な手段を採用する。</w:t>
      </w:r>
    </w:p>
    <w:p>
      <w:pPr>
        <w:pStyle w:val="Normal"/>
        <w:spacing w:lineRule="exact" w:line="320"/>
        <w:rPr/>
      </w:pPr>
      <w:r>
        <w:rPr/>
      </w:r>
    </w:p>
    <w:p>
      <w:pPr>
        <w:pStyle w:val="ListParagraph"/>
        <w:numPr>
          <w:ilvl w:val="0"/>
          <w:numId w:val="1"/>
        </w:numPr>
        <w:spacing w:lineRule="exact" w:line="320"/>
        <w:rPr/>
      </w:pPr>
      <w:r>
        <w:rPr/>
        <w:t>技術的安全管理措置</w:t>
      </w:r>
    </w:p>
    <w:p>
      <w:pPr>
        <w:pStyle w:val="Normal"/>
        <w:spacing w:lineRule="exact" w:line="320"/>
        <w:ind w:left="210" w:hanging="210"/>
        <w:rPr/>
      </w:pPr>
      <w:r>
        <w:rPr/>
        <w:t>・個人情報を取り扱うことのできる従業者についてアクセス権限を設定・管理し、ユーザ</w:t>
      </w:r>
      <w:r>
        <w:rPr/>
        <w:t>ID</w:t>
      </w:r>
      <w:r>
        <w:rPr/>
        <w:t>・パスワードなどで、個人情報を取り扱う情報システムを使用する従業者を識別・認証する。</w:t>
      </w:r>
    </w:p>
    <w:p>
      <w:pPr>
        <w:pStyle w:val="Normal"/>
        <w:spacing w:lineRule="exact" w:line="320"/>
        <w:rPr/>
      </w:pPr>
      <w:r>
        <w:rPr/>
        <w:t>・個人情報の漏えい・毀損等防止策を講じる。</w:t>
      </w:r>
    </w:p>
    <w:p>
      <w:pPr>
        <w:pStyle w:val="Normal"/>
        <w:spacing w:lineRule="exact" w:line="320"/>
        <w:rPr/>
      </w:pPr>
      <w:r>
        <w:rPr/>
        <w:t>・外部からの不正アクセス又は不正ソフトウェアから保護する仕組みを導入する。</w:t>
      </w:r>
    </w:p>
    <w:p>
      <w:pPr>
        <w:pStyle w:val="Normal"/>
        <w:spacing w:lineRule="exact" w:line="320"/>
        <w:rPr/>
      </w:pPr>
      <w:r>
        <w:rPr/>
      </w:r>
    </w:p>
    <w:p>
      <w:pPr>
        <w:pStyle w:val="Normal"/>
        <w:spacing w:lineRule="exact" w:line="320"/>
        <w:rPr/>
      </w:pPr>
      <w:r>
        <w:rPr/>
        <w:t>2024</w:t>
      </w:r>
      <w:r>
        <w:rPr/>
        <w:t>年</w:t>
      </w:r>
      <w:r>
        <w:rPr/>
        <w:t>8</w:t>
      </w:r>
      <w:r>
        <w:rPr/>
        <w:t>月</w:t>
      </w:r>
      <w:r>
        <w:rPr/>
        <w:t>1</w:t>
      </w:r>
      <w:r>
        <w:rPr/>
        <w:t>日　制定</w:t>
      </w:r>
    </w:p>
    <w:sectPr>
      <w:type w:val="nextPage"/>
      <w:pgSz w:w="11906" w:h="16838"/>
      <w:pgMar w:left="1644" w:right="1644" w:header="0" w:top="1701" w:footer="0" w:bottom="1701"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84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Arial"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游明朝" w:hAnsi="游明朝" w:eastAsia="游明朝" w:cs="Arial"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unhideWhenUsed/>
    <w:qFormat/>
    <w:rPr/>
  </w:style>
  <w:style w:type="character" w:styleId="Style14" w:customStyle="1">
    <w:name w:val="ヘッダー (文字)"/>
    <w:basedOn w:val="DefaultParagraphFont"/>
    <w:link w:val="a4"/>
    <w:uiPriority w:val="99"/>
    <w:qFormat/>
    <w:rsid w:val="00de2b4a"/>
    <w:rPr/>
  </w:style>
  <w:style w:type="character" w:styleId="Style15" w:customStyle="1">
    <w:name w:val="フッター (文字)"/>
    <w:basedOn w:val="DefaultParagraphFont"/>
    <w:link w:val="a6"/>
    <w:uiPriority w:val="99"/>
    <w:qFormat/>
    <w:rsid w:val="00de2b4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1659"/>
    <w:pPr>
      <w:ind w:left="840" w:hanging="0"/>
    </w:pPr>
    <w:rPr/>
  </w:style>
  <w:style w:type="paragraph" w:styleId="HeaderandFooter">
    <w:name w:val="Header and Footer"/>
    <w:basedOn w:val="Normal"/>
    <w:qFormat/>
    <w:pPr/>
    <w:rPr/>
  </w:style>
  <w:style w:type="paragraph" w:styleId="Header">
    <w:name w:val="Header"/>
    <w:basedOn w:val="Normal"/>
    <w:link w:val="a5"/>
    <w:uiPriority w:val="99"/>
    <w:unhideWhenUsed/>
    <w:rsid w:val="00de2b4a"/>
    <w:pPr>
      <w:tabs>
        <w:tab w:val="clear" w:pos="840"/>
        <w:tab w:val="center" w:pos="4252" w:leader="none"/>
        <w:tab w:val="right" w:pos="8504" w:leader="none"/>
      </w:tabs>
      <w:snapToGrid w:val="false"/>
    </w:pPr>
    <w:rPr/>
  </w:style>
  <w:style w:type="paragraph" w:styleId="Footer">
    <w:name w:val="Footer"/>
    <w:basedOn w:val="Normal"/>
    <w:link w:val="a7"/>
    <w:uiPriority w:val="99"/>
    <w:unhideWhenUsed/>
    <w:rsid w:val="00de2b4a"/>
    <w:pPr>
      <w:tabs>
        <w:tab w:val="clear" w:pos="840"/>
        <w:tab w:val="center" w:pos="4252" w:leader="none"/>
        <w:tab w:val="right" w:pos="8504" w:leader="none"/>
      </w:tabs>
      <w:snapToGrid w:val="false"/>
    </w:pPr>
    <w:rPr/>
  </w:style>
  <w:style w:type="paragraph" w:styleId="Revision">
    <w:name w:val="Revision"/>
    <w:uiPriority w:val="99"/>
    <w:semiHidden/>
    <w:qFormat/>
    <w:rsid w:val="004f0bed"/>
    <w:pPr>
      <w:widowControl/>
      <w:bidi w:val="0"/>
      <w:spacing w:before="0" w:after="0"/>
      <w:jc w:val="left"/>
    </w:pPr>
    <w:rPr>
      <w:rFonts w:ascii="游明朝" w:hAnsi="游明朝" w:eastAsia="游明朝" w:cs="Arial" w:asciiTheme="minorHAnsi" w:cstheme="minorBidi" w:eastAsiaTheme="minorEastAsia" w:hAnsiTheme="minorHAnsi"/>
      <w:color w:val="auto"/>
      <w:kern w:val="2"/>
      <w:sz w:val="21"/>
      <w:szCs w:val="22"/>
      <w:lang w:val="en-US" w:eastAsia="ja-JP"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4F671-C77B-4B30-B382-D0D2FD6D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1</Pages>
  <Words>851</Words>
  <Characters>861</Characters>
  <CharactersWithSpaces>863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2022-05-09T01:40:00Z</dcterms:created>
  <dc:creator/>
  <dc:description/>
  <dc:language>en-US</dc:language>
  <cp:lastModifiedBy/>
  <dcterms:modified xsi:type="dcterms:W3CDTF">2024-08-07T11:22:53Z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