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i w:val="0"/>
          <w:color w:val="008C8C"/>
          <w:sz w:val="18"/>
        </w:rPr>
        <w:t>UDRIVE LAB ONBOARDING</w:t>
      </w:r>
    </w:p>
    <w:p>
      <w:pPr>
        <w:spacing w:before="0" w:after="20"/>
      </w:pPr>
      <w:r>
        <w:rPr>
          <w:rFonts w:ascii="Arial" w:hAnsi="Arial"/>
          <w:b/>
          <w:i w:val="0"/>
          <w:color w:val="16324F"/>
          <w:sz w:val="48"/>
        </w:rPr>
        <w:t>Welcome to UDRIVE Lab</w:t>
      </w:r>
    </w:p>
    <w:p>
      <w:pPr>
        <w:spacing w:before="0" w:after="140"/>
      </w:pPr>
      <w:r>
        <w:rPr>
          <w:rFonts w:ascii="Arial" w:hAnsi="Arial"/>
          <w:b w:val="0"/>
          <w:i/>
          <w:color w:val="555555"/>
          <w:sz w:val="23"/>
        </w:rPr>
        <w:t>Role: Autonomous Systems Engineer</w:t>
      </w:r>
    </w:p>
    <w:p>
      <w:pPr>
        <w:spacing w:after="100"/>
      </w:pPr>
      <w:r>
        <w:rPr>
          <w:rFonts w:ascii="Arial" w:hAnsi="Arial"/>
          <w:b w:val="0"/>
          <w:i w:val="0"/>
          <w:color w:val="222222"/>
          <w:sz w:val="21"/>
        </w:rPr>
        <w:t>You are joining a fast-moving autonomous-vehicle team. Your group owns the journey from raw sensor data to a 1/10-scale vehicle that can drive indoors. The three projects below are connected milestones, not isolated tasks. Your job is to own a defined part of the work, understand its interfaces, and help the group turn individual contributions into one working system.</w:t>
      </w:r>
    </w:p>
    <w:p>
      <w:pPr>
        <w:spacing w:before="20" w:after="100"/>
        <w:jc w:val="center"/>
      </w:pPr>
      <w:r>
        <w:rPr>
          <w:rFonts w:ascii="Arial" w:hAnsi="Arial"/>
          <w:b/>
          <w:i w:val="0"/>
          <w:color w:val="008C8C"/>
          <w:sz w:val="21"/>
        </w:rPr>
        <w:t>Calibrate it. Detect it. Localize it. Drive it. Then make it better.</w:t>
      </w:r>
    </w:p>
    <w:p>
      <w:pPr>
        <w:pStyle w:val="Heading1"/>
        <w:keepNext/>
      </w:pPr>
      <w:r>
        <w:t>Your three project launches</w:t>
      </w:r>
    </w:p>
    <w:p>
      <w:pPr>
        <w:numPr>
          <w:ilvl w:val="0"/>
          <w:numId w:val="10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SEE - Sensor Calibration and Object Detection. </w:t>
      </w:r>
      <w:r>
        <w:rPr>
          <w:rFonts w:ascii="Arial" w:hAnsi="Arial"/>
          <w:b w:val="0"/>
          <w:i w:val="0"/>
          <w:color w:val="222222"/>
          <w:sz w:val="20"/>
        </w:rPr>
        <w:t>Calibrate the assigned sensors, verify their relationships, develop or evaluate object detection, measure performance, and identify failure cases.</w:t>
      </w:r>
    </w:p>
    <w:p>
      <w:pPr>
        <w:numPr>
          <w:ilvl w:val="0"/>
          <w:numId w:val="10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LOCATE - Localization in Outdoor and Indoor Environments. </w:t>
      </w:r>
      <w:r>
        <w:rPr>
          <w:rFonts w:ascii="Arial" w:hAnsi="Arial"/>
          <w:b w:val="0"/>
          <w:i w:val="0"/>
          <w:color w:val="222222"/>
          <w:sz w:val="20"/>
        </w:rPr>
        <w:t>Estimate vehicle position and orientation, evaluate accuracy, continuity, and drift, and document how the method behaves when conditions or sensor availability change.</w:t>
      </w:r>
    </w:p>
    <w:p>
      <w:pPr>
        <w:numPr>
          <w:ilvl w:val="0"/>
          <w:numId w:val="10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DRIVE - 1/10-Scale Indoor Autonomous Driving. </w:t>
      </w:r>
      <w:r>
        <w:rPr>
          <w:rFonts w:ascii="Arial" w:hAnsi="Arial"/>
          <w:b w:val="0"/>
          <w:i w:val="0"/>
          <w:color w:val="222222"/>
          <w:sz w:val="20"/>
        </w:rPr>
        <w:t>Integrate perception, localization, planning, and control; run safe indoor tests; diagnose interface failures; and demonstrate end-to-end autonomous operation.</w:t>
      </w:r>
    </w:p>
    <w:p>
      <w:pPr>
        <w:pStyle w:val="Heading1"/>
        <w:keepNext/>
      </w:pPr>
      <w:r>
        <w:t>How your group works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Own a lane, but know the whole car. </w:t>
      </w:r>
      <w:r>
        <w:rPr>
          <w:rFonts w:ascii="Arial" w:hAnsi="Arial"/>
          <w:b w:val="0"/>
          <w:i w:val="0"/>
          <w:color w:val="222222"/>
          <w:sz w:val="20"/>
        </w:rPr>
        <w:t>Take responsibility for a component while understanding enough of the complete stack to review, integrate, and help others.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Demo early and integrate often. </w:t>
      </w:r>
      <w:r>
        <w:rPr>
          <w:rFonts w:ascii="Arial" w:hAnsi="Arial"/>
          <w:b w:val="0"/>
          <w:i w:val="0"/>
          <w:color w:val="222222"/>
          <w:sz w:val="20"/>
        </w:rPr>
        <w:t>Show small progress, agree on interfaces and test cases, and avoid leaving integration until the final demonstration.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Bring evidence to decisions. </w:t>
      </w:r>
      <w:r>
        <w:rPr>
          <w:rFonts w:ascii="Arial" w:hAnsi="Arial"/>
          <w:b w:val="0"/>
          <w:i w:val="0"/>
          <w:color w:val="222222"/>
          <w:sz w:val="20"/>
        </w:rPr>
        <w:t>Use tests, metrics, logs, and failure cases instead of assumptions or unsupported confidence.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Keep one shared source of truth. </w:t>
      </w:r>
      <w:r>
        <w:rPr>
          <w:rFonts w:ascii="Arial" w:hAnsi="Arial"/>
          <w:b w:val="0"/>
          <w:i w:val="0"/>
          <w:color w:val="222222"/>
          <w:sz w:val="20"/>
        </w:rPr>
        <w:t>Record ownership, decisions, blockers, current artifacts, and the next action where the whole group can find them.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Ask for help and protect safety. </w:t>
      </w:r>
      <w:r>
        <w:rPr>
          <w:rFonts w:ascii="Arial" w:hAnsi="Arial"/>
          <w:b w:val="0"/>
          <w:i w:val="0"/>
          <w:color w:val="222222"/>
          <w:sz w:val="20"/>
        </w:rPr>
        <w:t>Raise blockers early and stop work that is unsafe, unauthorized, misleading, or insufficiently understood.</w:t>
      </w:r>
    </w:p>
    <w:p>
      <w:pPr>
        <w:pStyle w:val="Heading1"/>
        <w:keepNext/>
      </w:pPr>
      <w:r>
        <w:t>What you are expected to deliver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A technical contribution. </w:t>
      </w:r>
      <w:r>
        <w:rPr>
          <w:rFonts w:ascii="Arial" w:hAnsi="Arial"/>
          <w:b w:val="0"/>
          <w:i w:val="0"/>
          <w:color w:val="222222"/>
          <w:sz w:val="20"/>
        </w:rPr>
        <w:t>Provide the assigned configuration, code, model, calibration result, localization method, analysis, or integrated capability.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Validation evidence. </w:t>
      </w:r>
      <w:r>
        <w:rPr>
          <w:rFonts w:ascii="Arial" w:hAnsi="Arial"/>
          <w:b w:val="0"/>
          <w:i w:val="0"/>
          <w:color w:val="222222"/>
          <w:sz w:val="20"/>
        </w:rPr>
        <w:t>Include the test procedure, scenarios, meaningful metrics, reproducible records, limitations, and observed failure cases.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An integration contribution. </w:t>
      </w:r>
      <w:r>
        <w:rPr>
          <w:rFonts w:ascii="Arial" w:hAnsi="Arial"/>
          <w:b w:val="0"/>
          <w:i w:val="0"/>
          <w:color w:val="222222"/>
          <w:sz w:val="20"/>
        </w:rPr>
        <w:t>Confirm that your work connects correctly to the rest of the stack and help resolve cross-component problems.</w:t>
      </w:r>
    </w:p>
    <w:p>
      <w:pPr>
        <w:numPr>
          <w:ilvl w:val="0"/>
          <w:numId w:val="11"/>
        </w:numPr>
        <w:spacing w:after="80"/>
      </w:pPr>
      <w:r>
        <w:rPr>
          <w:rFonts w:ascii="Arial" w:hAnsi="Arial"/>
          <w:b/>
          <w:i w:val="0"/>
          <w:color w:val="16324F"/>
          <w:sz w:val="20"/>
        </w:rPr>
        <w:t xml:space="preserve">A clear demonstration and handoff. </w:t>
      </w:r>
      <w:r>
        <w:rPr>
          <w:rFonts w:ascii="Arial" w:hAnsi="Arial"/>
          <w:b w:val="0"/>
          <w:i w:val="0"/>
          <w:color w:val="222222"/>
          <w:sz w:val="20"/>
        </w:rPr>
        <w:t>Show what works, explain what broke or remains uncertain, and leave enough context for another engineer to continue the work.</w:t>
      </w:r>
    </w:p>
    <w:p>
      <w:pPr>
        <w:spacing w:before="100" w:after="0"/>
        <w:jc w:val="center"/>
      </w:pPr>
      <w:r>
        <w:rPr>
          <w:rFonts w:ascii="Arial" w:hAnsi="Arial"/>
          <w:b/>
          <w:i w:val="0"/>
          <w:color w:val="16324F"/>
          <w:sz w:val="21"/>
        </w:rPr>
        <w:t>Build fast. Test hard. Drive safely.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76" w:lineRule="auto"/>
      </w:pPr>
      <w:rPr>
        <w:rFonts w:ascii="Arial" w:hAnsi="Arial"/>
        <w:color w:val="16324F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276" w:lineRule="auto"/>
      </w:pPr>
      <w:rPr>
        <w:rFonts w:ascii="Symbol" w:hAnsi="Symbol"/>
        <w:color w:val="16324F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F80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UDRIVE Lab Onboarding</dc:title>
  <dc:subject>Canvas-friendly role onboarding for the UDRIVE Lab engineering team</dc:subject>
  <dc:creator>UDRIVE Lab</dc:creator>
  <cp:keywords>UDRIVE Lab, sensor calibration, object detection, outdoor localization, indoor localization, 1/10-scale autonomous driving, engineering group</cp:keywords>
  <dc:description>Simple one-page onboarding document designed for Canvas preview compatibility.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