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CISC667-010: Introduction to Autonomous Driving</w:t>
      </w:r>
    </w:p>
    <w:p>
      <w:pPr>
        <w:pStyle w:val="Heading1"/>
        <w:rPr/>
      </w:pPr>
      <w:r>
        <w:rPr/>
        <w:t>Course Logistics</w:t>
      </w:r>
    </w:p>
    <w:p>
      <w:pPr>
        <w:pStyle w:val="Normal"/>
        <w:rPr/>
      </w:pPr>
      <w:r>
        <w:rPr/>
        <w:t xml:space="preserve">Meeting Days, Times, Location and Room: </w:t>
      </w:r>
      <w:r>
        <w:rPr/>
        <w:t>Tuesday</w:t>
      </w:r>
      <w:r>
        <w:rPr/>
        <w:t xml:space="preserve">, </w:t>
      </w:r>
      <w:r>
        <w:rPr/>
        <w:t>Thursday</w:t>
      </w:r>
      <w:r>
        <w:rPr/>
        <w:t xml:space="preserve"> 5:</w:t>
      </w:r>
      <w:r>
        <w:rPr/>
        <w:t>3</w:t>
      </w:r>
      <w:r>
        <w:rPr/>
        <w:t>0pm - 6:</w:t>
      </w:r>
      <w:r>
        <w:rPr/>
        <w:t>5</w:t>
      </w:r>
      <w:r>
        <w:rPr/>
        <w:t xml:space="preserve">0pm, </w:t>
      </w:r>
      <w:r>
        <w:rPr/>
        <w:t>Gore 102</w:t>
      </w:r>
    </w:p>
    <w:p>
      <w:pPr>
        <w:pStyle w:val="Normal"/>
        <w:rPr/>
      </w:pPr>
      <w:r>
        <w:rPr/>
        <w:t>Zoom link for class sessions: https://udel.zoom.us/j/97662732002</w:t>
      </w:r>
    </w:p>
    <w:p>
      <w:pPr>
        <w:pStyle w:val="Normal"/>
        <w:rPr/>
      </w:pPr>
      <w:r>
        <w:rPr/>
        <w:t>Section(s): 010, Credits: 3</w:t>
      </w:r>
    </w:p>
    <w:p>
      <w:pPr>
        <w:pStyle w:val="Normal"/>
        <w:rPr/>
      </w:pPr>
      <w:r>
        <w:rPr/>
        <w:t xml:space="preserve">Semester: Fall, Year: </w:t>
      </w:r>
      <w:r>
        <w:rPr/>
        <w:t>2026</w:t>
      </w:r>
    </w:p>
    <w:p>
      <w:pPr>
        <w:pStyle w:val="Normal"/>
        <w:rPr/>
      </w:pPr>
      <w:r>
        <w:rPr/>
        <w:t xml:space="preserve">In-person Student Hours/Office Hours: </w:t>
      </w:r>
      <w:r>
        <w:rPr/>
        <w:t>Fintech By Appoointment</w:t>
      </w:r>
    </w:p>
    <w:p>
      <w:pPr>
        <w:pStyle w:val="Normal"/>
        <w:rPr>
          <w:rFonts w:eastAsia="宋体"/>
          <w:lang w:eastAsia="zh-CN"/>
        </w:rPr>
      </w:pPr>
      <w:r>
        <w:rPr/>
        <w:t xml:space="preserve">Virtual Student Hours/Office Hours: </w:t>
      </w:r>
      <w:r>
        <w:rPr>
          <w:rFonts w:eastAsia="宋体"/>
          <w:lang w:eastAsia="zh-CN"/>
        </w:rPr>
        <w:t>Email</w:t>
      </w:r>
    </w:p>
    <w:p>
      <w:pPr>
        <w:pStyle w:val="Heading1"/>
        <w:rPr/>
      </w:pPr>
      <w:r>
        <w:rPr/>
        <w:t>1. Instructor Information and Introduction</w:t>
      </w:r>
    </w:p>
    <w:p>
      <w:pPr>
        <w:pStyle w:val="Normal"/>
        <w:rPr/>
      </w:pPr>
      <w:r>
        <w:rPr/>
        <w:t>Instructor name: William He</w:t>
      </w:r>
    </w:p>
    <w:p>
      <w:pPr>
        <w:pStyle w:val="Normal"/>
        <w:rPr/>
      </w:pPr>
      <w:r>
        <w:rPr/>
        <w:t>Email address: willhe@udel.edu</w:t>
      </w:r>
    </w:p>
    <w:p>
      <w:pPr>
        <w:pStyle w:val="Normal"/>
        <w:rPr/>
      </w:pPr>
      <w:r>
        <w:rPr/>
        <w:t xml:space="preserve">Office location: </w:t>
      </w:r>
      <w:r>
        <w:rPr>
          <w:rFonts w:eastAsia="宋体" w:ascii="宋体" w:hAnsi="宋体"/>
          <w:lang w:eastAsia="zh-CN"/>
        </w:rPr>
        <w:t xml:space="preserve">Fintech </w:t>
      </w:r>
      <w:r>
        <w:rPr>
          <w:rFonts w:eastAsia="宋体" w:ascii="宋体" w:hAnsi="宋体"/>
          <w:lang w:eastAsia="zh-CN"/>
        </w:rPr>
        <w:t>316</w:t>
      </w:r>
    </w:p>
    <w:p>
      <w:pPr>
        <w:pStyle w:val="Normal"/>
        <w:rPr/>
      </w:pPr>
      <w:r>
        <w:rPr/>
        <w:t xml:space="preserve">Student hours/Office hours: </w:t>
      </w:r>
      <w:r>
        <w:rPr/>
        <w:t>By Appointment</w:t>
      </w:r>
    </w:p>
    <w:p>
      <w:pPr>
        <w:pStyle w:val="Heading2"/>
        <w:rPr/>
      </w:pPr>
      <w:r>
        <w:rPr/>
        <w:t>About the Instructor</w:t>
      </w:r>
    </w:p>
    <w:p>
      <w:pPr>
        <w:pStyle w:val="Normal"/>
        <w:rPr/>
      </w:pPr>
      <w:r>
        <w:rPr/>
        <w:t>I study autonomous vehicle computing systems and vehicle-to-everything (V2X) communications. My research focuses on how cars communicate with each other and their surroundings to operate safely and efficiently.</w:t>
        <w:br/>
        <w:t>I believe if you can demonstrate you know the material taught in this course, then you don’t need to do any projects.</w:t>
      </w:r>
    </w:p>
    <w:p>
      <w:pPr>
        <w:pStyle w:val="Heading1"/>
        <w:rPr/>
      </w:pPr>
      <w:r>
        <w:rPr/>
        <w:t>2. Course Description</w:t>
      </w:r>
    </w:p>
    <w:p>
      <w:pPr>
        <w:pStyle w:val="Normal"/>
        <w:rPr/>
      </w:pPr>
      <w:r>
        <w:rPr/>
        <w:t>This course introduces foundational concepts and technologies in autonomous driving. Topics include perception, planning, control, Robot Operating System 2 (ROS2), and simulation environments.</w:t>
        <w:br/>
        <w:t>Students will explore both theoretical foundations and practical implementations of autonomous vehicle systems. Through a combination of lectures and team-based projects, students will gain experience in real-world problem solving, system integration, and collaborative development. Students will also gain hands-on experience using 1/10th scaled autonomous vehicles in lab exercises.</w:t>
        <w:br/>
        <w:t>The course provides relevant preparation for careers and research in robotics, embedded systems, intelligent transportation, and AI-driven mobility solutions.</w:t>
        <w:br/>
        <w:t>Prerequisites: None</w:t>
        <w:br/>
        <w:t>Course Delivery: In-person lectures, project-driven, team-based activities.</w:t>
        <w:br/>
        <w:t>University/College/Department Requirements this Course Meets: [To be defined]</w:t>
      </w:r>
    </w:p>
    <w:p>
      <w:pPr>
        <w:pStyle w:val="Heading1"/>
        <w:rPr/>
      </w:pPr>
      <w:r>
        <w:rPr/>
        <w:t>3. Learning Outcomes</w:t>
      </w:r>
    </w:p>
    <w:p>
      <w:pPr>
        <w:pStyle w:val="Normal"/>
        <w:rPr/>
      </w:pPr>
      <w:r>
        <w:rPr/>
        <w:t>By the end of this course, you will be able to:</w:t>
      </w:r>
    </w:p>
    <w:p>
      <w:pPr>
        <w:pStyle w:val="ListBullet"/>
        <w:numPr>
          <w:ilvl w:val="0"/>
          <w:numId w:val="1"/>
        </w:numPr>
        <w:rPr/>
      </w:pPr>
      <w:r>
        <w:rPr/>
        <w:t>Implement basic perception algorithms for autonomous vehicles.</w:t>
      </w:r>
    </w:p>
    <w:p>
      <w:pPr>
        <w:pStyle w:val="ListBullet"/>
        <w:numPr>
          <w:ilvl w:val="0"/>
          <w:numId w:val="1"/>
        </w:numPr>
        <w:rPr/>
      </w:pPr>
      <w:r>
        <w:rPr/>
        <w:t>Design planning and control modules in a simulated driving environment.</w:t>
      </w:r>
    </w:p>
    <w:p>
      <w:pPr>
        <w:pStyle w:val="ListBullet"/>
        <w:numPr>
          <w:ilvl w:val="0"/>
          <w:numId w:val="1"/>
        </w:numPr>
        <w:rPr/>
      </w:pPr>
      <w:r>
        <w:rPr/>
        <w:t>Use ROS2 to develop and integrate autonomous driving components.</w:t>
      </w:r>
    </w:p>
    <w:p>
      <w:pPr>
        <w:pStyle w:val="ListBullet"/>
        <w:numPr>
          <w:ilvl w:val="0"/>
          <w:numId w:val="1"/>
        </w:numPr>
        <w:rPr/>
      </w:pPr>
      <w:r>
        <w:rPr/>
        <w:t>Deploy algorithms on 1/10th scaled autonomous vehicles in a physical lab setting.</w:t>
      </w:r>
    </w:p>
    <w:p>
      <w:pPr>
        <w:pStyle w:val="ListBullet"/>
        <w:numPr>
          <w:ilvl w:val="0"/>
          <w:numId w:val="1"/>
        </w:numPr>
        <w:rPr/>
      </w:pPr>
      <w:r>
        <w:rPr/>
        <w:t>Work effectively in teams to develop and test autonomous vehicle systems.</w:t>
      </w:r>
    </w:p>
    <w:p>
      <w:pPr>
        <w:pStyle w:val="ListBullet"/>
        <w:numPr>
          <w:ilvl w:val="0"/>
          <w:numId w:val="1"/>
        </w:numPr>
        <w:rPr/>
      </w:pPr>
      <w:r>
        <w:rPr/>
        <w:t>Understand the end-to-end architecture and design considerations for autonomous driving platforms.</w:t>
      </w:r>
    </w:p>
    <w:p>
      <w:pPr>
        <w:pStyle w:val="Heading1"/>
        <w:rPr/>
      </w:pPr>
      <w:r>
        <w:rPr/>
        <w:t>4. Learning Resources</w:t>
      </w:r>
    </w:p>
    <w:p>
      <w:pPr>
        <w:pStyle w:val="Normal"/>
        <w:rPr/>
      </w:pPr>
      <w:r>
        <w:rPr/>
        <w:t>Textbook: Introduction to Autonomous Driving (ISBN-10: 3031994841). This textbook is recommended but not required to be purchased.</w:t>
        <w:br/>
      </w:r>
    </w:p>
    <w:p>
      <w:pPr>
        <w:pStyle w:val="Normal"/>
        <w:rPr/>
      </w:pPr>
      <w:r>
        <w:rPr/>
        <w:t>Technology:</w:t>
        <w:br/>
        <w:t>- Canvas</w:t>
        <w:br/>
        <w:t>- Zoom</w:t>
        <w:br/>
        <w:t>- ROS2</w:t>
        <w:br/>
        <w:t>- Simulators and 1/10th scale autonomous vehicle platforms (provided)</w:t>
      </w:r>
    </w:p>
    <w:p>
      <w:pPr>
        <w:pStyle w:val="Heading1"/>
        <w:rPr/>
      </w:pPr>
      <w:r>
        <w:rPr/>
        <w:t>5. Learning Assessment</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widowControl w:val="false"/>
              <w:spacing w:before="0" w:after="200"/>
              <w:rPr/>
            </w:pPr>
            <w:r>
              <w:rPr/>
              <w:t>Course Component</w:t>
            </w:r>
          </w:p>
        </w:tc>
        <w:tc>
          <w:tcPr>
            <w:tcW w:w="4319" w:type="dxa"/>
            <w:tcBorders/>
          </w:tcPr>
          <w:p>
            <w:pPr>
              <w:pStyle w:val="Normal"/>
              <w:widowControl w:val="false"/>
              <w:spacing w:before="0" w:after="200"/>
              <w:rPr/>
            </w:pPr>
            <w:r>
              <w:rPr/>
              <w:t>Percentage of Total</w:t>
            </w:r>
          </w:p>
        </w:tc>
      </w:tr>
      <w:tr>
        <w:trPr/>
        <w:tc>
          <w:tcPr>
            <w:tcW w:w="4320" w:type="dxa"/>
            <w:tcBorders/>
          </w:tcPr>
          <w:p>
            <w:pPr>
              <w:pStyle w:val="Normal"/>
              <w:widowControl w:val="false"/>
              <w:spacing w:before="0" w:after="200"/>
              <w:rPr/>
            </w:pPr>
            <w:r>
              <w:rPr/>
              <w:t>Project 1</w:t>
            </w:r>
          </w:p>
        </w:tc>
        <w:tc>
          <w:tcPr>
            <w:tcW w:w="4319" w:type="dxa"/>
            <w:tcBorders/>
          </w:tcPr>
          <w:p>
            <w:pPr>
              <w:pStyle w:val="Normal"/>
              <w:widowControl w:val="false"/>
              <w:spacing w:before="0" w:after="200"/>
              <w:rPr/>
            </w:pPr>
            <w:r>
              <w:rPr/>
              <w:t>30%</w:t>
            </w:r>
          </w:p>
        </w:tc>
      </w:tr>
      <w:tr>
        <w:trPr/>
        <w:tc>
          <w:tcPr>
            <w:tcW w:w="4320" w:type="dxa"/>
            <w:tcBorders/>
          </w:tcPr>
          <w:p>
            <w:pPr>
              <w:pStyle w:val="Normal"/>
              <w:widowControl w:val="false"/>
              <w:spacing w:before="0" w:after="200"/>
              <w:rPr/>
            </w:pPr>
            <w:r>
              <w:rPr/>
              <w:t>Project 2</w:t>
            </w:r>
          </w:p>
        </w:tc>
        <w:tc>
          <w:tcPr>
            <w:tcW w:w="4319" w:type="dxa"/>
            <w:tcBorders/>
          </w:tcPr>
          <w:p>
            <w:pPr>
              <w:pStyle w:val="Normal"/>
              <w:widowControl w:val="false"/>
              <w:spacing w:before="0" w:after="200"/>
              <w:rPr/>
            </w:pPr>
            <w:r>
              <w:rPr/>
              <w:t>30%</w:t>
            </w:r>
          </w:p>
        </w:tc>
      </w:tr>
      <w:tr>
        <w:trPr/>
        <w:tc>
          <w:tcPr>
            <w:tcW w:w="4320" w:type="dxa"/>
            <w:tcBorders/>
          </w:tcPr>
          <w:p>
            <w:pPr>
              <w:pStyle w:val="Normal"/>
              <w:widowControl w:val="false"/>
              <w:spacing w:before="0" w:after="200"/>
              <w:rPr/>
            </w:pPr>
            <w:r>
              <w:rPr/>
              <w:t>Project 3</w:t>
            </w:r>
          </w:p>
        </w:tc>
        <w:tc>
          <w:tcPr>
            <w:tcW w:w="4319" w:type="dxa"/>
            <w:tcBorders/>
          </w:tcPr>
          <w:p>
            <w:pPr>
              <w:pStyle w:val="Normal"/>
              <w:widowControl w:val="false"/>
              <w:spacing w:before="0" w:after="200"/>
              <w:rPr/>
            </w:pPr>
            <w:r>
              <w:rPr/>
              <w:t>40%</w:t>
            </w:r>
          </w:p>
        </w:tc>
      </w:tr>
    </w:tbl>
    <w:p>
      <w:pPr>
        <w:pStyle w:val="Normal"/>
        <w:rPr/>
      </w:pPr>
      <w:r>
        <w:rPr/>
        <w:t>Extra Credit: Students may earn 100% extra credit by producing a publishable paper based on materials learned in class.</w:t>
      </w:r>
    </w:p>
    <w:p>
      <w:pPr>
        <w:pStyle w:val="Normal"/>
        <w:rPr/>
      </w:pPr>
      <w:r>
        <w:rPr/>
        <w:t>Grading Scale: Standard UD grading scale will be used.</w:t>
      </w:r>
    </w:p>
    <w:p>
      <w:pPr>
        <w:pStyle w:val="Heading1"/>
        <w:rPr/>
      </w:pPr>
      <w:r>
        <w:rPr/>
        <w:t>6. Course Calendar</w:t>
      </w:r>
    </w:p>
    <w:p>
      <w:pPr>
        <w:pStyle w:val="Normal"/>
        <w:rPr/>
      </w:pPr>
      <w:r>
        <w:rPr/>
        <w:t>Course runs Aug 2</w:t>
      </w:r>
      <w:r>
        <w:rPr/>
        <w:t>5</w:t>
      </w:r>
      <w:r>
        <w:rPr/>
        <w:t xml:space="preserve"> – Dec </w:t>
      </w:r>
      <w:r>
        <w:rPr/>
        <w:t>8</w:t>
      </w:r>
      <w:r>
        <w:rPr/>
        <w:t>. Observes all UD academic and religious holidays. Guest lectures included.</w:t>
        <w:br/>
      </w:r>
    </w:p>
    <w:p>
      <w:pPr>
        <w:pStyle w:val="Normal"/>
        <w:rPr/>
      </w:pPr>
      <w:r>
        <w:rPr/>
        <w:t>See Canvas for the live calendar and project release/deadline updates.</w:t>
      </w:r>
    </w:p>
    <w:p>
      <w:pPr>
        <w:pStyle w:val="Heading1"/>
        <w:rPr/>
      </w:pPr>
      <w:r>
        <w:rPr/>
        <w:t>7. Policies</w:t>
      </w:r>
    </w:p>
    <w:p>
      <w:pPr>
        <w:pStyle w:val="Normal"/>
        <w:rPr/>
      </w:pPr>
      <w:r>
        <w:rPr/>
        <w:t>Late Work and Make-up Policy: Accepted with communication. Reasonable flexibility provided.</w:t>
      </w:r>
    </w:p>
    <w:p>
      <w:pPr>
        <w:pStyle w:val="Normal"/>
        <w:rPr/>
      </w:pPr>
      <w:r>
        <w:rPr/>
        <w:t>Use of Advanced Automated Tools: Permitted and encouraged for course work. Students must understand any AI-assisted content they submit.</w:t>
      </w:r>
    </w:p>
    <w:p>
      <w:pPr>
        <w:pStyle w:val="Normal"/>
        <w:rPr/>
      </w:pPr>
      <w:r>
        <w:rPr/>
        <w:t>Attendance and Inclusivity: Flexible attendance. Occasional virtual attendance or caregiving needs are supported. Children may attend class when necessary.</w:t>
      </w:r>
    </w:p>
    <w:p>
      <w:pPr>
        <w:pStyle w:val="Heading2"/>
        <w:rPr/>
      </w:pPr>
      <w:r>
        <w:rPr/>
        <w:t>Grading Scale</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widowControl w:val="false"/>
              <w:spacing w:before="0" w:after="200"/>
              <w:rPr/>
            </w:pPr>
            <w:r>
              <w:rPr/>
              <w:t>Grade</w:t>
            </w:r>
          </w:p>
        </w:tc>
        <w:tc>
          <w:tcPr>
            <w:tcW w:w="4319" w:type="dxa"/>
            <w:tcBorders/>
          </w:tcPr>
          <w:p>
            <w:pPr>
              <w:pStyle w:val="Normal"/>
              <w:widowControl w:val="false"/>
              <w:spacing w:before="0" w:after="200"/>
              <w:rPr/>
            </w:pPr>
            <w:r>
              <w:rPr/>
              <w:t>Interval</w:t>
            </w:r>
          </w:p>
        </w:tc>
      </w:tr>
      <w:tr>
        <w:trPr/>
        <w:tc>
          <w:tcPr>
            <w:tcW w:w="4320" w:type="dxa"/>
            <w:tcBorders/>
          </w:tcPr>
          <w:p>
            <w:pPr>
              <w:pStyle w:val="Normal"/>
              <w:widowControl w:val="false"/>
              <w:spacing w:before="0" w:after="200"/>
              <w:rPr/>
            </w:pPr>
            <w:r>
              <w:rPr/>
              <w:t>A</w:t>
            </w:r>
          </w:p>
        </w:tc>
        <w:tc>
          <w:tcPr>
            <w:tcW w:w="4319" w:type="dxa"/>
            <w:tcBorders/>
          </w:tcPr>
          <w:p>
            <w:pPr>
              <w:pStyle w:val="Normal"/>
              <w:widowControl w:val="false"/>
              <w:spacing w:before="0" w:after="200"/>
              <w:rPr/>
            </w:pPr>
            <w:r>
              <w:rPr/>
              <w:t>94.0 and above</w:t>
            </w:r>
          </w:p>
        </w:tc>
      </w:tr>
      <w:tr>
        <w:trPr/>
        <w:tc>
          <w:tcPr>
            <w:tcW w:w="4320" w:type="dxa"/>
            <w:tcBorders/>
          </w:tcPr>
          <w:p>
            <w:pPr>
              <w:pStyle w:val="Normal"/>
              <w:widowControl w:val="false"/>
              <w:spacing w:before="0" w:after="200"/>
              <w:rPr/>
            </w:pPr>
            <w:r>
              <w:rPr/>
              <w:t>A–</w:t>
            </w:r>
          </w:p>
        </w:tc>
        <w:tc>
          <w:tcPr>
            <w:tcW w:w="4319" w:type="dxa"/>
            <w:tcBorders/>
          </w:tcPr>
          <w:p>
            <w:pPr>
              <w:pStyle w:val="Normal"/>
              <w:widowControl w:val="false"/>
              <w:spacing w:before="0" w:after="200"/>
              <w:rPr/>
            </w:pPr>
            <w:r>
              <w:rPr/>
              <w:t>90.0 to &lt;94.0</w:t>
            </w:r>
          </w:p>
        </w:tc>
      </w:tr>
      <w:tr>
        <w:trPr/>
        <w:tc>
          <w:tcPr>
            <w:tcW w:w="4320" w:type="dxa"/>
            <w:tcBorders/>
          </w:tcPr>
          <w:p>
            <w:pPr>
              <w:pStyle w:val="Normal"/>
              <w:widowControl w:val="false"/>
              <w:spacing w:before="0" w:after="200"/>
              <w:rPr/>
            </w:pPr>
            <w:r>
              <w:rPr/>
              <w:t>B+</w:t>
            </w:r>
          </w:p>
        </w:tc>
        <w:tc>
          <w:tcPr>
            <w:tcW w:w="4319" w:type="dxa"/>
            <w:tcBorders/>
          </w:tcPr>
          <w:p>
            <w:pPr>
              <w:pStyle w:val="Normal"/>
              <w:widowControl w:val="false"/>
              <w:spacing w:before="0" w:after="200"/>
              <w:rPr/>
            </w:pPr>
            <w:r>
              <w:rPr/>
              <w:t>87.0 to &lt;90.0</w:t>
            </w:r>
          </w:p>
        </w:tc>
      </w:tr>
      <w:tr>
        <w:trPr/>
        <w:tc>
          <w:tcPr>
            <w:tcW w:w="4320" w:type="dxa"/>
            <w:tcBorders/>
          </w:tcPr>
          <w:p>
            <w:pPr>
              <w:pStyle w:val="Normal"/>
              <w:widowControl w:val="false"/>
              <w:spacing w:before="0" w:after="200"/>
              <w:rPr/>
            </w:pPr>
            <w:r>
              <w:rPr/>
              <w:t>B</w:t>
            </w:r>
          </w:p>
        </w:tc>
        <w:tc>
          <w:tcPr>
            <w:tcW w:w="4319" w:type="dxa"/>
            <w:tcBorders/>
          </w:tcPr>
          <w:p>
            <w:pPr>
              <w:pStyle w:val="Normal"/>
              <w:widowControl w:val="false"/>
              <w:spacing w:before="0" w:after="200"/>
              <w:rPr/>
            </w:pPr>
            <w:r>
              <w:rPr/>
              <w:t>84.0 to &lt;87.0</w:t>
            </w:r>
          </w:p>
        </w:tc>
      </w:tr>
      <w:tr>
        <w:trPr/>
        <w:tc>
          <w:tcPr>
            <w:tcW w:w="4320" w:type="dxa"/>
            <w:tcBorders/>
          </w:tcPr>
          <w:p>
            <w:pPr>
              <w:pStyle w:val="Normal"/>
              <w:widowControl w:val="false"/>
              <w:spacing w:before="0" w:after="200"/>
              <w:rPr/>
            </w:pPr>
            <w:r>
              <w:rPr/>
              <w:t>B–</w:t>
            </w:r>
          </w:p>
        </w:tc>
        <w:tc>
          <w:tcPr>
            <w:tcW w:w="4319" w:type="dxa"/>
            <w:tcBorders/>
          </w:tcPr>
          <w:p>
            <w:pPr>
              <w:pStyle w:val="Normal"/>
              <w:widowControl w:val="false"/>
              <w:spacing w:before="0" w:after="200"/>
              <w:rPr/>
            </w:pPr>
            <w:r>
              <w:rPr/>
              <w:t>80.0 to &lt;84.0</w:t>
            </w:r>
          </w:p>
        </w:tc>
      </w:tr>
      <w:tr>
        <w:trPr/>
        <w:tc>
          <w:tcPr>
            <w:tcW w:w="4320" w:type="dxa"/>
            <w:tcBorders/>
          </w:tcPr>
          <w:p>
            <w:pPr>
              <w:pStyle w:val="Normal"/>
              <w:widowControl w:val="false"/>
              <w:spacing w:before="0" w:after="200"/>
              <w:rPr/>
            </w:pPr>
            <w:r>
              <w:rPr/>
              <w:t>C+</w:t>
            </w:r>
          </w:p>
        </w:tc>
        <w:tc>
          <w:tcPr>
            <w:tcW w:w="4319" w:type="dxa"/>
            <w:tcBorders/>
          </w:tcPr>
          <w:p>
            <w:pPr>
              <w:pStyle w:val="Normal"/>
              <w:widowControl w:val="false"/>
              <w:spacing w:before="0" w:after="200"/>
              <w:rPr/>
            </w:pPr>
            <w:r>
              <w:rPr/>
              <w:t>77.0 to &lt;80.0</w:t>
            </w:r>
          </w:p>
        </w:tc>
      </w:tr>
      <w:tr>
        <w:trPr/>
        <w:tc>
          <w:tcPr>
            <w:tcW w:w="4320" w:type="dxa"/>
            <w:tcBorders/>
          </w:tcPr>
          <w:p>
            <w:pPr>
              <w:pStyle w:val="Normal"/>
              <w:widowControl w:val="false"/>
              <w:spacing w:before="0" w:after="200"/>
              <w:rPr/>
            </w:pPr>
            <w:r>
              <w:rPr/>
              <w:t>C</w:t>
            </w:r>
          </w:p>
        </w:tc>
        <w:tc>
          <w:tcPr>
            <w:tcW w:w="4319" w:type="dxa"/>
            <w:tcBorders/>
          </w:tcPr>
          <w:p>
            <w:pPr>
              <w:pStyle w:val="Normal"/>
              <w:widowControl w:val="false"/>
              <w:spacing w:before="0" w:after="200"/>
              <w:rPr/>
            </w:pPr>
            <w:r>
              <w:rPr/>
              <w:t>74.0 to &lt;77.0</w:t>
            </w:r>
          </w:p>
        </w:tc>
      </w:tr>
      <w:tr>
        <w:trPr/>
        <w:tc>
          <w:tcPr>
            <w:tcW w:w="4320" w:type="dxa"/>
            <w:tcBorders/>
          </w:tcPr>
          <w:p>
            <w:pPr>
              <w:pStyle w:val="Normal"/>
              <w:widowControl w:val="false"/>
              <w:spacing w:before="0" w:after="200"/>
              <w:rPr/>
            </w:pPr>
            <w:r>
              <w:rPr/>
              <w:t>C–</w:t>
            </w:r>
          </w:p>
        </w:tc>
        <w:tc>
          <w:tcPr>
            <w:tcW w:w="4319" w:type="dxa"/>
            <w:tcBorders/>
          </w:tcPr>
          <w:p>
            <w:pPr>
              <w:pStyle w:val="Normal"/>
              <w:widowControl w:val="false"/>
              <w:spacing w:before="0" w:after="200"/>
              <w:rPr/>
            </w:pPr>
            <w:r>
              <w:rPr/>
              <w:t>70.0 to &lt;74.0</w:t>
            </w:r>
          </w:p>
        </w:tc>
      </w:tr>
      <w:tr>
        <w:trPr/>
        <w:tc>
          <w:tcPr>
            <w:tcW w:w="4320" w:type="dxa"/>
            <w:tcBorders/>
          </w:tcPr>
          <w:p>
            <w:pPr>
              <w:pStyle w:val="Normal"/>
              <w:widowControl w:val="false"/>
              <w:spacing w:before="0" w:after="200"/>
              <w:rPr/>
            </w:pPr>
            <w:r>
              <w:rPr/>
              <w:t>D+</w:t>
            </w:r>
          </w:p>
        </w:tc>
        <w:tc>
          <w:tcPr>
            <w:tcW w:w="4319" w:type="dxa"/>
            <w:tcBorders/>
          </w:tcPr>
          <w:p>
            <w:pPr>
              <w:pStyle w:val="Normal"/>
              <w:widowControl w:val="false"/>
              <w:spacing w:before="0" w:after="200"/>
              <w:rPr/>
            </w:pPr>
            <w:r>
              <w:rPr/>
              <w:t>67.0 to &lt;70.0</w:t>
            </w:r>
          </w:p>
        </w:tc>
      </w:tr>
      <w:tr>
        <w:trPr/>
        <w:tc>
          <w:tcPr>
            <w:tcW w:w="4320" w:type="dxa"/>
            <w:tcBorders/>
          </w:tcPr>
          <w:p>
            <w:pPr>
              <w:pStyle w:val="Normal"/>
              <w:widowControl w:val="false"/>
              <w:spacing w:before="0" w:after="200"/>
              <w:rPr/>
            </w:pPr>
            <w:r>
              <w:rPr/>
              <w:t>D</w:t>
            </w:r>
          </w:p>
        </w:tc>
        <w:tc>
          <w:tcPr>
            <w:tcW w:w="4319" w:type="dxa"/>
            <w:tcBorders/>
          </w:tcPr>
          <w:p>
            <w:pPr>
              <w:pStyle w:val="Normal"/>
              <w:widowControl w:val="false"/>
              <w:spacing w:before="0" w:after="200"/>
              <w:rPr/>
            </w:pPr>
            <w:r>
              <w:rPr/>
              <w:t>64.0 to &lt;67.0</w:t>
            </w:r>
          </w:p>
        </w:tc>
      </w:tr>
      <w:tr>
        <w:trPr/>
        <w:tc>
          <w:tcPr>
            <w:tcW w:w="4320" w:type="dxa"/>
            <w:tcBorders/>
          </w:tcPr>
          <w:p>
            <w:pPr>
              <w:pStyle w:val="Normal"/>
              <w:widowControl w:val="false"/>
              <w:spacing w:before="0" w:after="200"/>
              <w:rPr/>
            </w:pPr>
            <w:r>
              <w:rPr/>
              <w:t>D–</w:t>
            </w:r>
          </w:p>
        </w:tc>
        <w:tc>
          <w:tcPr>
            <w:tcW w:w="4319" w:type="dxa"/>
            <w:tcBorders/>
          </w:tcPr>
          <w:p>
            <w:pPr>
              <w:pStyle w:val="Normal"/>
              <w:widowControl w:val="false"/>
              <w:spacing w:before="0" w:after="200"/>
              <w:rPr/>
            </w:pPr>
            <w:r>
              <w:rPr/>
              <w:t>61.0 to &lt;64.0</w:t>
            </w:r>
          </w:p>
        </w:tc>
      </w:tr>
      <w:tr>
        <w:trPr/>
        <w:tc>
          <w:tcPr>
            <w:tcW w:w="4320" w:type="dxa"/>
            <w:tcBorders/>
          </w:tcPr>
          <w:p>
            <w:pPr>
              <w:pStyle w:val="Normal"/>
              <w:widowControl w:val="false"/>
              <w:spacing w:before="0" w:after="200"/>
              <w:rPr/>
            </w:pPr>
            <w:r>
              <w:rPr/>
              <w:t>F</w:t>
            </w:r>
          </w:p>
        </w:tc>
        <w:tc>
          <w:tcPr>
            <w:tcW w:w="4319" w:type="dxa"/>
            <w:tcBorders/>
          </w:tcPr>
          <w:p>
            <w:pPr>
              <w:pStyle w:val="Normal"/>
              <w:widowControl w:val="false"/>
              <w:spacing w:before="0" w:after="200"/>
              <w:rPr/>
            </w:pPr>
            <w:r>
              <w:rPr/>
              <w:t>&lt;61.0</w:t>
            </w:r>
          </w:p>
        </w:tc>
      </w:tr>
    </w:tbl>
    <w:p>
      <w:pPr>
        <w:pStyle w:val="Heading2"/>
        <w:rPr/>
      </w:pPr>
      <w:r>
        <w:rPr/>
        <w:t>Tentative 14-Week Schedule</w:t>
      </w:r>
    </w:p>
    <w:p>
      <w:pPr>
        <w:pStyle w:val="ListBullet"/>
        <w:numPr>
          <w:ilvl w:val="0"/>
          <w:numId w:val="1"/>
        </w:numPr>
        <w:rPr/>
      </w:pPr>
      <w:r>
        <w:rPr/>
        <w:t>Week 1 : Course Intro, ROS2 Setup</w:t>
      </w:r>
    </w:p>
    <w:p>
      <w:pPr>
        <w:pStyle w:val="ListBullet"/>
        <w:numPr>
          <w:ilvl w:val="0"/>
          <w:numId w:val="1"/>
        </w:numPr>
        <w:rPr/>
      </w:pPr>
      <w:r>
        <w:rPr/>
        <w:t>Week 2 : ROS2 Fundamentals &amp; Simulation</w:t>
      </w:r>
    </w:p>
    <w:p>
      <w:pPr>
        <w:pStyle w:val="ListBullet"/>
        <w:numPr>
          <w:ilvl w:val="0"/>
          <w:numId w:val="1"/>
        </w:numPr>
        <w:rPr/>
      </w:pPr>
      <w:r>
        <w:rPr/>
        <w:t>Week 3 : Perception I – Sensors &amp; Models</w:t>
      </w:r>
    </w:p>
    <w:p>
      <w:pPr>
        <w:pStyle w:val="ListBullet"/>
        <w:numPr>
          <w:ilvl w:val="0"/>
          <w:numId w:val="1"/>
        </w:numPr>
        <w:rPr/>
      </w:pPr>
      <w:r>
        <w:rPr/>
        <w:t>Week 4 : Perception II – Vision &amp; Fusion (Project 1 assigned)</w:t>
      </w:r>
    </w:p>
    <w:p>
      <w:pPr>
        <w:pStyle w:val="ListBullet"/>
        <w:numPr>
          <w:ilvl w:val="0"/>
          <w:numId w:val="1"/>
        </w:numPr>
        <w:rPr/>
      </w:pPr>
      <w:r>
        <w:rPr/>
        <w:t>Week 5 : Sep Localization &amp; Mapping</w:t>
      </w:r>
    </w:p>
    <w:p>
      <w:pPr>
        <w:pStyle w:val="ListBullet"/>
        <w:numPr>
          <w:ilvl w:val="0"/>
          <w:numId w:val="1"/>
        </w:numPr>
        <w:rPr/>
      </w:pPr>
      <w:r>
        <w:rPr/>
        <w:t>Week 6 : Control Theory for AVs</w:t>
      </w:r>
    </w:p>
    <w:p>
      <w:pPr>
        <w:pStyle w:val="ListBullet"/>
        <w:numPr>
          <w:ilvl w:val="0"/>
          <w:numId w:val="1"/>
        </w:numPr>
        <w:rPr/>
      </w:pPr>
      <w:r>
        <w:rPr/>
        <w:t>Week 7 : Trajectory Planning</w:t>
      </w:r>
    </w:p>
    <w:p>
      <w:pPr>
        <w:pStyle w:val="ListBullet"/>
        <w:numPr>
          <w:ilvl w:val="0"/>
          <w:numId w:val="1"/>
        </w:numPr>
        <w:rPr/>
      </w:pPr>
      <w:r>
        <w:rPr/>
        <w:t>Week 8 : Planning &amp; Control Integration (Project 1 due)</w:t>
      </w:r>
    </w:p>
    <w:p>
      <w:pPr>
        <w:pStyle w:val="ListBullet"/>
        <w:numPr>
          <w:ilvl w:val="0"/>
          <w:numId w:val="1"/>
        </w:numPr>
        <w:rPr/>
      </w:pPr>
      <w:r>
        <w:rPr/>
        <w:t>Week 9 : System Architecture (Project 2 assigned)</w:t>
      </w:r>
    </w:p>
    <w:p>
      <w:pPr>
        <w:pStyle w:val="ListBullet"/>
        <w:numPr>
          <w:ilvl w:val="0"/>
          <w:numId w:val="1"/>
        </w:numPr>
        <w:rPr/>
      </w:pPr>
      <w:r>
        <w:rPr/>
        <w:t>Week 10 : Guest Lecture / Industry View</w:t>
      </w:r>
    </w:p>
    <w:p>
      <w:pPr>
        <w:pStyle w:val="ListBullet"/>
        <w:numPr>
          <w:ilvl w:val="0"/>
          <w:numId w:val="1"/>
        </w:numPr>
        <w:rPr/>
      </w:pPr>
      <w:r>
        <w:rPr/>
        <w:t>Week 11 : Simulation Lab &amp; Debugging</w:t>
      </w:r>
    </w:p>
    <w:p>
      <w:pPr>
        <w:pStyle w:val="ListBullet"/>
        <w:numPr>
          <w:ilvl w:val="0"/>
          <w:numId w:val="1"/>
        </w:numPr>
        <w:rPr/>
      </w:pPr>
      <w:r>
        <w:rPr/>
        <w:t>Week 12 : Safety, Testing &amp; Validation (Project 2 due)</w:t>
      </w:r>
    </w:p>
    <w:p>
      <w:pPr>
        <w:pStyle w:val="ListBullet"/>
        <w:numPr>
          <w:ilvl w:val="0"/>
          <w:numId w:val="1"/>
        </w:numPr>
        <w:rPr/>
      </w:pPr>
      <w:r>
        <w:rPr/>
        <w:t>Week 13 : AV Communication (V2X) (Project 3 assigned)</w:t>
      </w:r>
    </w:p>
    <w:p>
      <w:pPr>
        <w:pStyle w:val="ListBullet"/>
        <w:numPr>
          <w:ilvl w:val="0"/>
          <w:numId w:val="1"/>
        </w:numPr>
        <w:rPr/>
      </w:pPr>
      <w:r>
        <w:rPr/>
        <w:t xml:space="preserve">Week 14 : Wrap-up, Team Presentations (Project 3 due Dec </w:t>
      </w:r>
      <w:r>
        <w:rPr/>
        <w:t>8</w:t>
      </w:r>
      <w:r>
        <w:rPr/>
        <w:t>)</w:t>
      </w:r>
    </w:p>
    <w:p>
      <w:pPr>
        <w:pStyle w:val="Heading1"/>
        <w:rPr/>
      </w:pPr>
      <w:r>
        <w:rPr/>
        <w:t>8. University of Delaware Academic Policies</w:t>
      </w:r>
    </w:p>
    <w:p>
      <w:pPr>
        <w:pStyle w:val="Heading2"/>
        <w:rPr/>
      </w:pPr>
      <w:r>
        <w:rPr/>
        <w:t>Academic Honesty</w:t>
      </w:r>
    </w:p>
    <w:p>
      <w:pPr>
        <w:pStyle w:val="Normal"/>
        <w:rPr/>
      </w:pPr>
      <w:r>
        <w:rPr/>
        <w:t>Please familiarize yourself with UD policies regarding academic dishonesty. The Academic Honesty Policy states: “Students must be honest and forthright in their academic studies. Students are expected to do their own work and must give proper credit for any work not their own. Students may neither give nor receive unauthorized assistance. Engaging in academic dishonesty, or allowing other students to do the same, corrupts the educational process and diminishes the quality of a University of Delaware degree.” View the university's procedures for resolving academic dishonesty concerns. Contact Community Standards &amp; Conflict Resolution at communitystandards@udel.edu or (302) 831-2117.</w:t>
      </w:r>
    </w:p>
    <w:p>
      <w:pPr>
        <w:pStyle w:val="Heading2"/>
        <w:rPr/>
      </w:pPr>
      <w:r>
        <w:rPr/>
        <w:t>Harassment, Discrimination, and Sexual Misconduct</w:t>
      </w:r>
    </w:p>
    <w:p>
      <w:pPr>
        <w:pStyle w:val="Normal"/>
        <w:rPr/>
      </w:pPr>
      <w:r>
        <w:rPr/>
        <w:t>The University of Delaware works to promote an academic and work environment that is free from all forms of discrimination, including harassment and sexual misconduct. As a member of the community, your rights, resources and responsibilities are reflected in the Non-Discrimination, Sexual Misconduct, and Title IX policy. You can report any concerns to the University’s Office of Equity &amp; Inclusion (302) 831-8063 or at kbuchko@udel.edu. You can also report anonymously through UD Police or the EthicsPoint Compliance Hotline.</w:t>
      </w:r>
    </w:p>
    <w:p>
      <w:pPr>
        <w:pStyle w:val="Heading2"/>
        <w:rPr/>
      </w:pPr>
      <w:r>
        <w:rPr/>
        <w:t>Responsible Employee Disclosure Statement</w:t>
      </w:r>
    </w:p>
    <w:p>
      <w:pPr>
        <w:pStyle w:val="Normal"/>
        <w:rPr/>
      </w:pPr>
      <w:r>
        <w:rPr/>
        <w:t>As a University employee, I must report any alleged violation of the Non-Discrimination, Sexual Misconduct and Title IX Policy. If such information is shared with me, I will respect your privacy and share it only with the Title IX Coordinator.</w:t>
      </w:r>
    </w:p>
    <w:p>
      <w:pPr>
        <w:pStyle w:val="Heading2"/>
        <w:rPr/>
      </w:pPr>
      <w:r>
        <w:rPr/>
        <w:t>Student Wellbeing</w:t>
      </w:r>
    </w:p>
    <w:p>
      <w:pPr>
        <w:pStyle w:val="Normal"/>
        <w:rPr/>
      </w:pPr>
      <w:r>
        <w:rPr/>
        <w:t>College students often experience things that may interfere with academic success. If you are experiencing stress, illness, or other challenges, contact me or reach out to Student Wellness (302-831-WELL). Mental health services, medical care, and 24/7 TalkNow are available through TimelyCare.</w:t>
      </w:r>
    </w:p>
    <w:p>
      <w:pPr>
        <w:pStyle w:val="Heading2"/>
        <w:rPr/>
      </w:pPr>
      <w:r>
        <w:rPr/>
        <w:t>Accommodations for Students with Disabilities</w:t>
      </w:r>
    </w:p>
    <w:p>
      <w:pPr>
        <w:pStyle w:val="Normal"/>
        <w:rPr/>
      </w:pPr>
      <w:r>
        <w:rPr/>
        <w:t>Any student who may need disability-related accommodations should contact the Office of Disability Support Services (DSS) as soon as possible. Website: www.udel.edu/dss | Email: dssoffice@udel.edu | Phone: 302-831-4643 | Location: 240 Academy Street, Alison Hall Suite 130.</w:t>
      </w:r>
    </w:p>
    <w:p>
      <w:pPr>
        <w:pStyle w:val="Heading2"/>
        <w:rPr/>
      </w:pPr>
      <w:r>
        <w:rPr/>
        <w:t>Notice of Non-Discrimination and Equal Opportunity</w:t>
      </w:r>
    </w:p>
    <w:p>
      <w:pPr>
        <w:pStyle w:val="Normal"/>
        <w:widowControl/>
        <w:bidi w:val="0"/>
        <w:spacing w:lineRule="auto" w:line="276" w:before="0" w:after="200"/>
        <w:jc w:val="left"/>
        <w:rPr/>
      </w:pPr>
      <w:r>
        <w:rPr/>
        <w:t>The University of Delaware does not discriminate based on race, color, national origin, sex, gender identity or expression, sexual orientation, genetic information, marital status, disability, religion, age, veteran status, or any other protected class. Inquiries can be directed to oei@udel.edu or (302) 831-8063.</w:t>
      </w:r>
    </w:p>
    <w:sectPr>
      <w:type w:val="nextPage"/>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宋体">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Bullet 3"/>
    <w:basedOn w:val="Normal"/>
    <w:uiPriority w:val="99"/>
    <w:unhideWhenUsed/>
    <w:rsid w:val="00326f90"/>
    <w:pPr>
      <w:spacing w:before="0" w:after="200"/>
      <w:ind w:left="720" w:hanging="360"/>
      <w:contextualSpacing/>
    </w:pPr>
    <w:rPr/>
  </w:style>
  <w:style w:type="paragraph" w:styleId="List3">
    <w:name w:val="List Bullet 4"/>
    <w:basedOn w:val="Normal"/>
    <w:uiPriority w:val="99"/>
    <w:unhideWhenUsed/>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Application>LibreOffice/7.3.7.2$Linux_X86_64 LibreOffice_project/30$Build-2</Application>
  <AppVersion>15.0000</AppVersion>
  <Pages>5</Pages>
  <Words>1019</Words>
  <Characters>5984</Characters>
  <CharactersWithSpaces>6887</CharactersWithSpaces>
  <Paragraphs>101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2026-08-24T11:09:30Z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