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36D7" w14:textId="3D7483D9" w:rsidR="000D006C" w:rsidRDefault="00596B8D" w:rsidP="00596B8D">
      <w:pPr>
        <w:pStyle w:val="Title"/>
      </w:pPr>
      <w:r>
        <w:t>Process Description and Legal/Organisational Interoperability: Using the GSBPM</w:t>
      </w:r>
    </w:p>
    <w:p w14:paraId="7BEDB327" w14:textId="77777777" w:rsidR="00596B8D" w:rsidRDefault="00596B8D" w:rsidP="00596B8D">
      <w:pPr>
        <w:rPr>
          <w:i/>
          <w:iCs/>
        </w:rPr>
      </w:pPr>
    </w:p>
    <w:p w14:paraId="3740AABF" w14:textId="259FBBA0" w:rsidR="00596B8D" w:rsidRDefault="00596B8D" w:rsidP="00596B8D">
      <w:pPr>
        <w:rPr>
          <w:i/>
          <w:iCs/>
        </w:rPr>
      </w:pPr>
      <w:r>
        <w:rPr>
          <w:i/>
          <w:iCs/>
        </w:rPr>
        <w:t>Arofan Gregory, Hilde Orten – 7 July 2026</w:t>
      </w:r>
    </w:p>
    <w:p w14:paraId="11B2B4F5" w14:textId="77777777" w:rsidR="00596B8D" w:rsidRDefault="00596B8D" w:rsidP="00596B8D">
      <w:pPr>
        <w:rPr>
          <w:i/>
          <w:iCs/>
        </w:rPr>
      </w:pPr>
    </w:p>
    <w:p w14:paraId="70F6C261" w14:textId="787B22E2" w:rsidR="00596B8D" w:rsidRDefault="00596B8D" w:rsidP="00596B8D">
      <w:pPr>
        <w:pStyle w:val="Heading1"/>
      </w:pPr>
      <w:r>
        <w:t>Overview</w:t>
      </w:r>
    </w:p>
    <w:p w14:paraId="5075E7AA" w14:textId="263BD85B" w:rsidR="00596B8D" w:rsidRDefault="00596B8D" w:rsidP="00596B8D">
      <w:r>
        <w:t>This document describes the envisioned use of the Generic Statistical Business Process Model (GSBPM) – or a model derived from it – in the context of legal and organizational interoperability, as it is being addressed within the Climate Adapt-4-EOSC project. The GSBPM is only one of a set of related specifications and models which will be used together</w:t>
      </w:r>
      <w:r w:rsidR="000D3301">
        <w:t>. Here, we try to characterize the different elements, and to describe the different roles they play vis-à-vis the business needs.</w:t>
      </w:r>
    </w:p>
    <w:p w14:paraId="3D4C117F" w14:textId="09602CF9" w:rsidR="000D3301" w:rsidRDefault="000D3301" w:rsidP="000D3301">
      <w:pPr>
        <w:pStyle w:val="Heading1"/>
      </w:pPr>
      <w:r>
        <w:t>GSBPM: A Reference Model for Data Production</w:t>
      </w:r>
    </w:p>
    <w:p w14:paraId="25E812AE" w14:textId="0B006E85" w:rsidR="000D3301" w:rsidRDefault="000D3301" w:rsidP="00596B8D">
      <w:r>
        <w:t>The GSBPM (pictured below) is a non-linear reference model designed to facilitate communications between statistical organisations regarding their data production processes. It comes from the world of official statistics – that is, data produced by governments to inform policy and to be supplied to journalists, students, and citizens. Thus, it is not entirely identical to the production processes used by researchers. In an exercise conducted by researchers around the production of longitudinal data in the social sciences ( the “GLBPM”), however, the GSBPM was adapted for use in that context and the result was remarkably similar. At its core, the business of data production is materially the same whether it is done for policy purposes or for scientific research. There are differences in terminology, but these are not overwhelming.</w:t>
      </w:r>
    </w:p>
    <w:p w14:paraId="4B0915E7" w14:textId="28107279" w:rsidR="00683D26" w:rsidRDefault="00683D26" w:rsidP="00683D26">
      <w:pPr>
        <w:jc w:val="center"/>
      </w:pPr>
      <w:r>
        <w:rPr>
          <w:noProof/>
        </w:rPr>
        <w:lastRenderedPageBreak/>
        <w:drawing>
          <wp:inline distT="0" distB="0" distL="0" distR="0" wp14:anchorId="4F902B91" wp14:editId="2C2C5837">
            <wp:extent cx="6183752" cy="3879273"/>
            <wp:effectExtent l="0" t="0" r="7620" b="6985"/>
            <wp:docPr id="570384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4673" cy="3898671"/>
                    </a:xfrm>
                    <a:prstGeom prst="rect">
                      <a:avLst/>
                    </a:prstGeom>
                    <a:noFill/>
                    <a:ln>
                      <a:noFill/>
                    </a:ln>
                  </pic:spPr>
                </pic:pic>
              </a:graphicData>
            </a:graphic>
          </wp:inline>
        </w:drawing>
      </w:r>
    </w:p>
    <w:p w14:paraId="250ED3B9" w14:textId="40EBE6CB" w:rsidR="00683D26" w:rsidRPr="00683D26" w:rsidRDefault="00683D26" w:rsidP="00683D26">
      <w:pPr>
        <w:jc w:val="center"/>
        <w:rPr>
          <w:i/>
          <w:iCs/>
        </w:rPr>
      </w:pPr>
      <w:r>
        <w:rPr>
          <w:i/>
          <w:iCs/>
        </w:rPr>
        <w:t>GSBPM version 5.2</w:t>
      </w:r>
    </w:p>
    <w:p w14:paraId="0CD94CFD" w14:textId="3E783C83" w:rsidR="000D3301" w:rsidRDefault="000D3301" w:rsidP="00596B8D">
      <w:r>
        <w:t>Within Climate Adapt-4-EOSC, the idea is to produce a reference model for the data found within the project by altering the terminology so that it can describe better the needs of the relevant data within the project. (This is not longitudinal data as seen in the GLBPM, exactly, either – what is needed is slightly different from either of the existing examples).</w:t>
      </w:r>
    </w:p>
    <w:p w14:paraId="29E130E2" w14:textId="3A3FE80E" w:rsidR="00683D26" w:rsidRDefault="000D3301" w:rsidP="00596B8D">
      <w:r>
        <w:t xml:space="preserve">The value of such a reference model is simple: it facilitates the discussion of data production functions between organisations. </w:t>
      </w:r>
      <w:r w:rsidR="00683D26">
        <w:t>Although various steps may be performed in a different order, the names for and relative purposes of different activities can be located within the matrix, and a more meaningful discussion can follow on from there as to whatever differences may exist between two organisations. GSBPM is not a formal classification nor an ontology – it is an aid to communication, and as such has been extremely well-received.</w:t>
      </w:r>
    </w:p>
    <w:p w14:paraId="2D98660A" w14:textId="298C6CF2" w:rsidR="000D3301" w:rsidRDefault="000D3301" w:rsidP="00596B8D">
      <w:r>
        <w:t xml:space="preserve">When data is being exchanged or is the subject of collaboration, or when services are being provided by one organization to another as part of data production, </w:t>
      </w:r>
      <w:r w:rsidR="00683D26">
        <w:t xml:space="preserve">agreement on the various activities involved is a critical part of the organizational alignment. The value demonstrated by the GSBPM – which is used by 80 different statistical organisations today, and has been proven massively popular across more than 5 versions – is that it solves the problems of the different terms used to describe processes inside of organisations. Such terms tend to be very specific to the community which uses them, and this presents a barrier to clear communication between </w:t>
      </w:r>
      <w:r w:rsidR="00683D26">
        <w:lastRenderedPageBreak/>
        <w:t>organisations from different domains or communities. The GSBPM has proven itself as an effective way to provide clarity in communications.</w:t>
      </w:r>
    </w:p>
    <w:p w14:paraId="2130021F" w14:textId="25B68F57" w:rsidR="00683D26" w:rsidRDefault="00683D26" w:rsidP="00596B8D">
      <w:r>
        <w:t>What the GSBPM does not provide today in any form is a machine-actionable (or even a machine-readable) resource</w:t>
      </w:r>
      <w:r w:rsidR="00C5476C">
        <w:t>. While a version of the GSBPM expressed as a SKOS Concept Scheme has been envisioned by the Climate Adapt-4-EOSC project, and has been discussed (in a positive light) with the producers of the GSBPM at the UN Economic Commission for Europe (UN/ECE), today the GSBPM exists officially as only a PDF document.</w:t>
      </w:r>
    </w:p>
    <w:p w14:paraId="5D3546B6" w14:textId="5B480337" w:rsidR="00C5476C" w:rsidRDefault="00C5476C" w:rsidP="00596B8D">
      <w:r>
        <w:t>This additional step – the rendering of the GSBPM or another, similar reference model – as an RDF resource, available for addressing and use by machines – is critical. The option we have chosen within Climate Adapt-4-EOSC is to produce a CDIF-conformant SKOS Concept Scheme, expressed in JSON-LD. Other, similar approaches are possible.</w:t>
      </w:r>
    </w:p>
    <w:p w14:paraId="565DAFD6" w14:textId="4D84717D" w:rsidR="00C5476C" w:rsidRDefault="00C5476C" w:rsidP="00596B8D">
      <w:r>
        <w:t>CDIF has also produced a similar set of reference terms for data-related activities, and expressed these as extensions to the W3C PROV Ontology. This is an example of an alternative approach being explored. The work within CDIF is still on-going: as yet, there is no official profile for provenance information – the work within CA4EOSC will be provided as input to that development effort..</w:t>
      </w:r>
    </w:p>
    <w:p w14:paraId="1B7B721A" w14:textId="0F616DEA" w:rsidR="000D3301" w:rsidRDefault="000D3301" w:rsidP="000D3301">
      <w:pPr>
        <w:pStyle w:val="Heading1"/>
      </w:pPr>
      <w:r>
        <w:t>Describing Historical Processes/Provenance</w:t>
      </w:r>
    </w:p>
    <w:p w14:paraId="0699A797" w14:textId="77777777" w:rsidR="00DE488B" w:rsidRDefault="00C5476C" w:rsidP="00C5476C">
      <w:r>
        <w:t>When we use the GSBPM, it is possible to identify what steps have been taken in the production of data using an understood, common reference model and the associated terms. What is missing, however, is a computable description of the sequence in which those steps were taken, of the actors who conducted them, and of the inputs and outputs used. We can refer to this more-complete picture as an “historical process description”. Such descriptions are often at the core of  detailed provenance for data and related resources.</w:t>
      </w:r>
    </w:p>
    <w:p w14:paraId="7FC4AEDC" w14:textId="5C34D7D7" w:rsidR="00C5476C" w:rsidRDefault="00DE488B" w:rsidP="00C5476C">
      <w:r>
        <w:t>There are a number of standards which can be used to provide machine-processible historical process descriptions. W3C has the whole family of PROV specifications, including PROV-O. These give us a clear description of how they view provenance, with a description of processes, actors, and involved resources as they key elements.</w:t>
      </w:r>
      <w:r w:rsidR="00C5476C">
        <w:t xml:space="preserve"> </w:t>
      </w:r>
      <w:r>
        <w:t>PROV is clearly intended for the description of historical processes – it is not designed for the description of workflows. The scope is made clear in the documentation.</w:t>
      </w:r>
    </w:p>
    <w:p w14:paraId="7C81CF41" w14:textId="506CABF0" w:rsidR="00DE488B" w:rsidRDefault="00DE488B" w:rsidP="00C5476C">
      <w:r>
        <w:t xml:space="preserve">Less specific are two other choices: Schema.org and the Data Documentation Initiative – Cross Domain Integration </w:t>
      </w:r>
      <w:r w:rsidR="00820B1E">
        <w:t xml:space="preserve">(DDI-CDI) </w:t>
      </w:r>
      <w:r>
        <w:t>specifications. Schema.org gives us</w:t>
      </w:r>
      <w:r w:rsidR="00820B1E">
        <w:t xml:space="preserve"> a way to describe a series of time-bound events</w:t>
      </w:r>
      <w:r>
        <w:t>. These can be specified as being descriptive of steps already taken in the production of a thing, and so can be used to describe historical processes.</w:t>
      </w:r>
      <w:r w:rsidR="00820B1E">
        <w:t xml:space="preserve"> The actors can be described, and some indication of needed inputs and outputs can be made, although this is not </w:t>
      </w:r>
      <w:r w:rsidR="00820B1E">
        <w:lastRenderedPageBreak/>
        <w:t>very clear within the specification for events around data production specifically. Schema.org can be expressed as RDF.</w:t>
      </w:r>
    </w:p>
    <w:p w14:paraId="3212FD90" w14:textId="72564A43" w:rsidR="00820B1E" w:rsidRDefault="00820B1E" w:rsidP="00C5476C">
      <w:r>
        <w:t>DDI-CDI can be expressed either as XML or as RDF, and gives a dedicated description of processes and steps, including an indication of actors, inputs, and outputs, along with resources used. The semantics here are fairly clear, because it is a dedicated language for describing data processes, with an emphasis on historical ones.</w:t>
      </w:r>
    </w:p>
    <w:p w14:paraId="711746E7" w14:textId="4FD603BA" w:rsidR="00820B1E" w:rsidRPr="00C5476C" w:rsidRDefault="00B8174C" w:rsidP="00C5476C">
      <w:r>
        <w:t xml:space="preserve">In each case – whether PROV, Schema.org, or DDI-CDI are employed – it is possible to link the steps/events/activities being described to formal definitions according to the GSBPM. Thus, the two specifications can be used in combination. This is even the case when a “generic” reference is made to a GSBPM step from a more-detailed description of a particular step within a PROV instance (etc.). So, a detailed description can be categorized as a more-generic one if that is what is wanted. In this scenario, it is assumed that the GSBPM reference will be meaningful, even if the detailed description is too domain- or organization-specific to be useful. Of course, this technique is never required: you can always use these historical process descriptions to simply reference a series of GSBPM steps, if that is what is wanted.  </w:t>
      </w:r>
    </w:p>
    <w:p w14:paraId="6774E51D" w14:textId="23FE1D00" w:rsidR="000D3301" w:rsidRDefault="000D3301" w:rsidP="000D3301">
      <w:pPr>
        <w:pStyle w:val="Heading1"/>
      </w:pPr>
      <w:r>
        <w:t>Describing Workflows</w:t>
      </w:r>
    </w:p>
    <w:p w14:paraId="744073E9" w14:textId="22103B87" w:rsidR="001D6DF6" w:rsidRDefault="001D6DF6" w:rsidP="001D6DF6">
      <w:r>
        <w:t>Describing workflows appears on the surface to be very similar to the description of historical processes. The main difference, of course, is that a workflow is a pattern to be used to conduct an activity in the future, or on a repeat basis – it is not a single chain of past events. This means that there are some different requirements on the information a workflow description must contain. It also means that workflows can potentially be executable, if they are detailed enough – something which is not typically done with historical process descriptions, which are more documentary.</w:t>
      </w:r>
    </w:p>
    <w:p w14:paraId="1A56765E" w14:textId="32147B89" w:rsidR="001D6DF6" w:rsidRDefault="001D6DF6" w:rsidP="001D6DF6">
      <w:r>
        <w:t xml:space="preserve">Because they are repeatable, forward-looking descriptions, workflows do not specify specific actors, inputs and outputs, not specific points in time. Instead, they often point to classes of input and output resources, types of actors, and durations required for particular steps. Like historical process descriptions, they do describe series of events, but such descriptions may also contain conditional logic, where one of several different paths is selected and followed. This requires the ability to express such choices and the criteria on which they are based, often using a programming language of some type.  </w:t>
      </w:r>
      <w:r w:rsidR="00501D3A">
        <w:t>Thus where an historical process description is a simple sequence of events, a workflow is a “tree” describing each of the possible sequences and the decision points at each branch in the possible paths.</w:t>
      </w:r>
    </w:p>
    <w:p w14:paraId="2F51301D" w14:textId="0CCCD5C9" w:rsidR="00501D3A" w:rsidRDefault="00501D3A" w:rsidP="001D6DF6">
      <w:r>
        <w:t xml:space="preserve">Because of these requirements, the standards used to describe workflows are not always the same as those used to describe historical processes. Notably, PROV is not useful for describing </w:t>
      </w:r>
      <w:r>
        <w:lastRenderedPageBreak/>
        <w:t>workflows, lacking any mechanism for describing conditional logic in a machine-actionable way. This use of PROV, in fac</w:t>
      </w:r>
      <w:r w:rsidR="00214D4B">
        <w:t>t</w:t>
      </w:r>
      <w:r>
        <w:t>, is clearly ruled out of scope by the recommendation itself.</w:t>
      </w:r>
    </w:p>
    <w:p w14:paraId="107C1A25" w14:textId="77777777" w:rsidR="00501D3A" w:rsidRDefault="00501D3A" w:rsidP="001D6DF6">
      <w:r>
        <w:t>Both Schema.org and DDI-CDI do provide support for workflow descriptions. DDI-CDI reuses many of the same objects as for historical process description (steps etc.) but provides mechanisms for describing the decision points within the flows, and for indicating types of resources and actors rather than specific ones. Even so, this is declared to be a secondary use of this portion of the specification.</w:t>
      </w:r>
    </w:p>
    <w:p w14:paraId="64032724" w14:textId="77777777" w:rsidR="00501D3A" w:rsidRDefault="00501D3A" w:rsidP="001D6DF6">
      <w:r>
        <w:t>Schema.org gives us “HowToStep” and “HowToSection,” although again, these are not specific to the description of data-related production processes. These constructs are, however, specifically designed to describe workflows rather than historical processes. Their encoding of decision points may not be fully machine-actionable, however.</w:t>
      </w:r>
    </w:p>
    <w:p w14:paraId="7E474EBD" w14:textId="77777777" w:rsidR="00501D3A" w:rsidRDefault="00501D3A" w:rsidP="001D6DF6">
      <w:r>
        <w:t>Perhaps the standard best suited for the description of machine-actionable workflows in the Common Workflow Language (CWL). This is an XML specification which provides support for workflow descriptions, intending for them to be executable. Unlike PROV, DDI-CDI, and Schema.org, however, it does not provide a specific RDF representation (although once could be programmatically generated from the XML Schema). Thus, it cannot always be used within implementations which require a standard RDF encoding for exchange between systems.</w:t>
      </w:r>
    </w:p>
    <w:p w14:paraId="0ABA0ECA" w14:textId="77777777" w:rsidR="00C27811" w:rsidRDefault="00501D3A" w:rsidP="001D6DF6">
      <w:r>
        <w:t xml:space="preserve">Like for historical processes, each step in a described workflow could make reference to a model such as the GSBPM. Nothing in a reference model such as GSBPM implies the temporal aspects of when a step or substep occurs – it can be in the future or in the past. Thus, </w:t>
      </w:r>
      <w:r w:rsidR="00C27811">
        <w:t>CWL and other languages employed to describe workflows can employ the GSBPM as a way of indicating specific actions to be taken.</w:t>
      </w:r>
    </w:p>
    <w:p w14:paraId="7BFD96CE" w14:textId="451EB54A" w:rsidR="00C27811" w:rsidRDefault="00C27811" w:rsidP="001D6DF6">
      <w:r>
        <w:t>There are also a class of modelling languages for describing workflows which are not intended to be executable, but to be descriptive. Perhaps the most popular of these are the Business process Modelling and Notation standard (BPMN) and the Unified Modelling Language (UML). Both of these allow for precise descriptions of workflow processes, including the exchange of messages, data, etc.  Like other standards, reference to a model such as the GSBPM can also be made.</w:t>
      </w:r>
    </w:p>
    <w:p w14:paraId="1EBF372B" w14:textId="5561E9B1" w:rsidR="00501D3A" w:rsidRPr="001D6DF6" w:rsidRDefault="00C27811" w:rsidP="001D6DF6">
      <w:r>
        <w:t>This may be very useful when agreements are made between organisations around services provision: a specific formal description of a workflow can be agreed, so that all of the interested parties understand exactly what their role consists of, and what they are obligated to do.</w:t>
      </w:r>
      <w:r w:rsidR="00501D3A">
        <w:t xml:space="preserve"> </w:t>
      </w:r>
    </w:p>
    <w:p w14:paraId="5797084D" w14:textId="480F892E" w:rsidR="000D3301" w:rsidRDefault="000D3301" w:rsidP="000D3301">
      <w:pPr>
        <w:pStyle w:val="Heading1"/>
      </w:pPr>
      <w:r>
        <w:lastRenderedPageBreak/>
        <w:t>Summary</w:t>
      </w:r>
    </w:p>
    <w:p w14:paraId="1250C316" w14:textId="24F3AA00" w:rsidR="00C27811" w:rsidRDefault="00C27811" w:rsidP="00C27811">
      <w:r>
        <w:t xml:space="preserve">There are a set of different types of models and standard which are potentially important to the CA4EOSC project, depending on what is being described. These include reference models such as the GSBPM, machine-actionable descriptions of historical processes used for documentary purposes, and workflow descriptions, both documentary and executable. </w:t>
      </w:r>
    </w:p>
    <w:p w14:paraId="10E3E6B1" w14:textId="7B5109FA" w:rsidR="00C27811" w:rsidRDefault="00C27811" w:rsidP="00C27811">
      <w:r>
        <w:t>In every case, a reference model such as the GSBPM can be used in conjunction with other types of models or standards to ensure that the different counterparties understand the specific activities being referred to, at least at a generic level. These may also be provided as more-detailed descriptions, but the GSBPM and similar types of models can be used at a minimum to provide a generic level of understanding, even if more detailed information is not provided.</w:t>
      </w:r>
    </w:p>
    <w:p w14:paraId="565ACF0C" w14:textId="68564DCD" w:rsidR="00C27811" w:rsidRPr="00C27811" w:rsidRDefault="00C27811" w:rsidP="00C27811">
      <w:r>
        <w:t>In order for this to work well, however, a machine-processible form of the GSBPM (or similar model is required). Currently, SKOS is being used to provide this for the GSBPM in our prototype.</w:t>
      </w:r>
    </w:p>
    <w:sectPr w:rsidR="00C27811" w:rsidRPr="00C2781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D7CCE" w14:textId="77777777" w:rsidR="00FB5B5B" w:rsidRDefault="00FB5B5B" w:rsidP="00C5476C">
      <w:pPr>
        <w:spacing w:after="0" w:line="240" w:lineRule="auto"/>
      </w:pPr>
      <w:r>
        <w:separator/>
      </w:r>
    </w:p>
  </w:endnote>
  <w:endnote w:type="continuationSeparator" w:id="0">
    <w:p w14:paraId="283014C7" w14:textId="77777777" w:rsidR="00FB5B5B" w:rsidRDefault="00FB5B5B" w:rsidP="00C54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10848"/>
      <w:docPartObj>
        <w:docPartGallery w:val="Page Numbers (Bottom of Page)"/>
        <w:docPartUnique/>
      </w:docPartObj>
    </w:sdtPr>
    <w:sdtEndPr>
      <w:rPr>
        <w:noProof/>
      </w:rPr>
    </w:sdtEndPr>
    <w:sdtContent>
      <w:p w14:paraId="6DF3B140" w14:textId="180DFB58" w:rsidR="00C5476C" w:rsidRDefault="00C547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C0B852" w14:textId="77777777" w:rsidR="00C5476C" w:rsidRDefault="00C54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B0CD1" w14:textId="77777777" w:rsidR="00FB5B5B" w:rsidRDefault="00FB5B5B" w:rsidP="00C5476C">
      <w:pPr>
        <w:spacing w:after="0" w:line="240" w:lineRule="auto"/>
      </w:pPr>
      <w:r>
        <w:separator/>
      </w:r>
    </w:p>
  </w:footnote>
  <w:footnote w:type="continuationSeparator" w:id="0">
    <w:p w14:paraId="48B900D8" w14:textId="77777777" w:rsidR="00FB5B5B" w:rsidRDefault="00FB5B5B" w:rsidP="00C547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B8D"/>
    <w:rsid w:val="000D006C"/>
    <w:rsid w:val="000D3301"/>
    <w:rsid w:val="001D6DF6"/>
    <w:rsid w:val="00214D4B"/>
    <w:rsid w:val="00297581"/>
    <w:rsid w:val="00501D3A"/>
    <w:rsid w:val="00580336"/>
    <w:rsid w:val="00596B8D"/>
    <w:rsid w:val="00683D26"/>
    <w:rsid w:val="00820B1E"/>
    <w:rsid w:val="008C78A2"/>
    <w:rsid w:val="00B8174C"/>
    <w:rsid w:val="00C27811"/>
    <w:rsid w:val="00C5476C"/>
    <w:rsid w:val="00D7041F"/>
    <w:rsid w:val="00DE488B"/>
    <w:rsid w:val="00FB5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DF03"/>
  <w15:chartTrackingRefBased/>
  <w15:docId w15:val="{A12CEFA4-A9D5-404C-87E4-AA620E2F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B8D"/>
    <w:rPr>
      <w:rFonts w:eastAsiaTheme="majorEastAsia" w:cstheme="majorBidi"/>
      <w:color w:val="272727" w:themeColor="text1" w:themeTint="D8"/>
    </w:rPr>
  </w:style>
  <w:style w:type="paragraph" w:styleId="Title">
    <w:name w:val="Title"/>
    <w:basedOn w:val="Normal"/>
    <w:next w:val="Normal"/>
    <w:link w:val="TitleChar"/>
    <w:uiPriority w:val="10"/>
    <w:qFormat/>
    <w:rsid w:val="00596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B8D"/>
    <w:pPr>
      <w:spacing w:before="160"/>
      <w:jc w:val="center"/>
    </w:pPr>
    <w:rPr>
      <w:i/>
      <w:iCs/>
      <w:color w:val="404040" w:themeColor="text1" w:themeTint="BF"/>
    </w:rPr>
  </w:style>
  <w:style w:type="character" w:customStyle="1" w:styleId="QuoteChar">
    <w:name w:val="Quote Char"/>
    <w:basedOn w:val="DefaultParagraphFont"/>
    <w:link w:val="Quote"/>
    <w:uiPriority w:val="29"/>
    <w:rsid w:val="00596B8D"/>
    <w:rPr>
      <w:i/>
      <w:iCs/>
      <w:color w:val="404040" w:themeColor="text1" w:themeTint="BF"/>
    </w:rPr>
  </w:style>
  <w:style w:type="paragraph" w:styleId="ListParagraph">
    <w:name w:val="List Paragraph"/>
    <w:basedOn w:val="Normal"/>
    <w:uiPriority w:val="34"/>
    <w:qFormat/>
    <w:rsid w:val="00596B8D"/>
    <w:pPr>
      <w:ind w:left="720"/>
      <w:contextualSpacing/>
    </w:pPr>
  </w:style>
  <w:style w:type="character" w:styleId="IntenseEmphasis">
    <w:name w:val="Intense Emphasis"/>
    <w:basedOn w:val="DefaultParagraphFont"/>
    <w:uiPriority w:val="21"/>
    <w:qFormat/>
    <w:rsid w:val="00596B8D"/>
    <w:rPr>
      <w:i/>
      <w:iCs/>
      <w:color w:val="0F4761" w:themeColor="accent1" w:themeShade="BF"/>
    </w:rPr>
  </w:style>
  <w:style w:type="paragraph" w:styleId="IntenseQuote">
    <w:name w:val="Intense Quote"/>
    <w:basedOn w:val="Normal"/>
    <w:next w:val="Normal"/>
    <w:link w:val="IntenseQuoteChar"/>
    <w:uiPriority w:val="30"/>
    <w:qFormat/>
    <w:rsid w:val="00596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B8D"/>
    <w:rPr>
      <w:i/>
      <w:iCs/>
      <w:color w:val="0F4761" w:themeColor="accent1" w:themeShade="BF"/>
    </w:rPr>
  </w:style>
  <w:style w:type="character" w:styleId="IntenseReference">
    <w:name w:val="Intense Reference"/>
    <w:basedOn w:val="DefaultParagraphFont"/>
    <w:uiPriority w:val="32"/>
    <w:qFormat/>
    <w:rsid w:val="00596B8D"/>
    <w:rPr>
      <w:b/>
      <w:bCs/>
      <w:smallCaps/>
      <w:color w:val="0F4761" w:themeColor="accent1" w:themeShade="BF"/>
      <w:spacing w:val="5"/>
    </w:rPr>
  </w:style>
  <w:style w:type="paragraph" w:styleId="Header">
    <w:name w:val="header"/>
    <w:basedOn w:val="Normal"/>
    <w:link w:val="HeaderChar"/>
    <w:uiPriority w:val="99"/>
    <w:unhideWhenUsed/>
    <w:rsid w:val="00C54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76C"/>
  </w:style>
  <w:style w:type="paragraph" w:styleId="Footer">
    <w:name w:val="footer"/>
    <w:basedOn w:val="Normal"/>
    <w:link w:val="FooterChar"/>
    <w:uiPriority w:val="99"/>
    <w:unhideWhenUsed/>
    <w:rsid w:val="00C54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174D7-5485-4D05-9153-AC1D3BA62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Arofan Gregory</cp:lastModifiedBy>
  <cp:revision>3</cp:revision>
  <dcterms:created xsi:type="dcterms:W3CDTF">2026-07-07T16:19:00Z</dcterms:created>
  <dcterms:modified xsi:type="dcterms:W3CDTF">2026-08-17T13:35:00Z</dcterms:modified>
</cp:coreProperties>
</file>