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jc w:val="both"/>
        <w:textAlignment w:val="auto"/>
        <w:rPr>
          <w:b/>
          <w:sz w:val="24"/>
          <w:szCs w:val="24"/>
          <w:rtl w:val="0"/>
        </w:rPr>
      </w:pPr>
      <w:r>
        <w:rPr>
          <w:b/>
          <w:sz w:val="24"/>
          <w:szCs w:val="24"/>
          <w:rtl w:val="0"/>
        </w:rPr>
        <w:t>ESTRATÉGIAS PEDAGÓGICAS PARA SISTEMAS MULTI-AGENTE</w:t>
      </w:r>
      <w:r>
        <w:rPr>
          <w:rFonts w:hint="default"/>
          <w:b/>
          <w:sz w:val="24"/>
          <w:szCs w:val="24"/>
          <w:rtl w:val="0"/>
          <w:lang w:val="pt-BR"/>
        </w:rPr>
        <w:t xml:space="preserve"> </w:t>
      </w:r>
      <w:r>
        <w:rPr>
          <w:b/>
          <w:sz w:val="24"/>
          <w:szCs w:val="24"/>
          <w:rtl w:val="0"/>
        </w:rPr>
        <w:t>LOCAIS</w:t>
      </w:r>
      <w:r>
        <w:rPr>
          <w:rFonts w:hint="default"/>
          <w:b/>
          <w:sz w:val="24"/>
          <w:szCs w:val="24"/>
          <w:rtl w:val="0"/>
          <w:lang w:val="pt-BR"/>
        </w:rPr>
        <w:t xml:space="preserve">: </w:t>
      </w:r>
      <w:r>
        <w:rPr>
          <w:b/>
          <w:sz w:val="24"/>
          <w:szCs w:val="24"/>
          <w:rtl w:val="0"/>
        </w:rPr>
        <w:t>GERENCIANDO CARGA COGNITIVA E COMPUTACIONAL NO ENSINO DE</w:t>
      </w:r>
      <w:r>
        <w:rPr>
          <w:b/>
          <w:sz w:val="24"/>
          <w:szCs w:val="24"/>
          <w:rtl w:val="0"/>
          <w:lang w:val="en-US"/>
        </w:rPr>
        <w:t xml:space="preserve"> AI </w:t>
      </w:r>
      <w:r>
        <w:rPr>
          <w:b/>
          <w:sz w:val="24"/>
          <w:szCs w:val="24"/>
          <w:rtl w:val="0"/>
        </w:rPr>
        <w:t>PARA ENGENHARIA DE SOFTWARE</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jc w:val="both"/>
        <w:textAlignment w:val="auto"/>
        <w:rPr>
          <w:rFonts w:hint="default"/>
          <w:b/>
          <w:sz w:val="24"/>
          <w:szCs w:val="24"/>
          <w:rtl w:val="0"/>
          <w:lang w:val="pt-BR"/>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jc w:val="both"/>
        <w:textAlignment w:val="auto"/>
        <w:rPr>
          <w:b/>
          <w:sz w:val="24"/>
          <w:szCs w:val="24"/>
          <w:rtl w:val="0"/>
        </w:rPr>
      </w:pPr>
      <w:r>
        <w:rPr>
          <w:b/>
          <w:sz w:val="24"/>
          <w:szCs w:val="24"/>
          <w:rtl w:val="0"/>
        </w:rPr>
        <w:t>PEDAGOGICAL STRATEGIES FOR LOCAL MULTI-AGENT SYSTEMS</w:t>
      </w:r>
      <w:r>
        <w:rPr>
          <w:rFonts w:hint="default"/>
          <w:b/>
          <w:sz w:val="24"/>
          <w:szCs w:val="24"/>
          <w:rtl w:val="0"/>
          <w:lang w:val="pt-BR"/>
        </w:rPr>
        <w:t xml:space="preserve">: </w:t>
      </w:r>
      <w:r>
        <w:rPr>
          <w:b/>
          <w:sz w:val="24"/>
          <w:szCs w:val="24"/>
          <w:rtl w:val="0"/>
        </w:rPr>
        <w:t>MANAGING COGNITIVE AND COMPUTATIONAL LOAD IN AI EDUCATION FOR SOFTWARE ENGINEERING</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0" w:firstLineChars="0"/>
        <w:jc w:val="right"/>
        <w:textAlignment w:val="auto"/>
        <w:rPr>
          <w:rFonts w:hint="default"/>
          <w:b/>
          <w:sz w:val="24"/>
          <w:szCs w:val="24"/>
          <w:rtl w:val="0"/>
          <w:lang w:val="pt-BR"/>
        </w:rPr>
      </w:pPr>
      <w:r>
        <w:rPr>
          <w:rFonts w:hint="default"/>
          <w:b/>
          <w:sz w:val="24"/>
          <w:szCs w:val="24"/>
          <w:rtl w:val="0"/>
        </w:rPr>
        <w:br w:type="textWrapping"/>
      </w:r>
      <w:r>
        <w:rPr>
          <w:rFonts w:hint="default"/>
          <w:b/>
          <w:sz w:val="24"/>
          <w:szCs w:val="24"/>
          <w:rtl w:val="0"/>
        </w:rPr>
        <w:t>HÉLIO CRAVEIRO PESSOA JÚNIOR</w:t>
      </w:r>
      <w:r>
        <w:rPr>
          <w:rFonts w:hint="default"/>
          <w:b/>
          <w:sz w:val="24"/>
          <w:szCs w:val="24"/>
          <w:rtl w:val="0"/>
        </w:rPr>
        <w:br w:type="textWrapping"/>
      </w:r>
      <w:bookmarkStart w:id="0" w:name="_GoBack"/>
      <w:bookmarkEnd w:id="0"/>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0" w:firstLineChars="0"/>
        <w:jc w:val="both"/>
        <w:textAlignment w:val="auto"/>
        <w:rPr>
          <w:rFonts w:hint="default"/>
          <w:sz w:val="24"/>
          <w:szCs w:val="24"/>
          <w:rtl w:val="0"/>
        </w:rPr>
      </w:pPr>
      <w:r>
        <w:rPr>
          <w:b/>
          <w:sz w:val="24"/>
          <w:szCs w:val="24"/>
          <w:rtl w:val="0"/>
        </w:rPr>
        <w:t>Resumo:</w:t>
      </w:r>
      <w:r>
        <w:rPr>
          <w:sz w:val="24"/>
          <w:szCs w:val="24"/>
          <w:rtl w:val="0"/>
        </w:rPr>
        <w:t xml:space="preserve"> </w:t>
      </w:r>
      <w:r>
        <w:rPr>
          <w:rFonts w:hint="default"/>
          <w:sz w:val="24"/>
          <w:szCs w:val="24"/>
          <w:rtl w:val="0"/>
        </w:rPr>
        <w:t>A rápida integração da Inteligência Artificial, como sistemas multi-agente locais (LMASs) baseados em modelos quantizados (via QLoRA), impõe desafios à educação em Engenharia de Software. As estratégias pedagógicas e políticas educacionais atuais, como o Plano Nacional de Educação (PNE) e as Diretrizes Curriculares Nacionais (DCNs), frequentemente negligenciam a complexidade dessas tecnologias avançadas e as severas limitações de recursos computacionais em ambientes acadêmicos. Este estudo propõe um quadro pedagógico que evidencia a interdependência crítica entre a Carga Cognitiva (CL) do estudante e a Carga Computacional (CompL) na aprendizagem. Essa dinâmica é central para tarefas complexas, como o ajuste fino local e a orquestração de LMASs, especialmente em hardware de consumidor com restrições significativas. O quadro busca um "ponto ideal" pedagógico, minimizando a CL desnecessária e otimizando a aprendizagem. As estratégias didáticas propostas abordam o trade-off entre quantização (Q4 vs. Q8) e CL, a sobrecarga cognitiva da orquestração de LMASs e a adaptação à expertise do estudante. Tarefas de alta CompL são planejadas para que a execução possa ocorrer assincronamente, com resultados apresentados no dia seguinte, transformando a espera em etapa gerenciada. Ferramentas de apoio tornam a dinâmica visível, visando reformular currículos e alinhar a formação às demandas da indústria de software.</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0" w:firstLineChars="0"/>
        <w:jc w:val="both"/>
        <w:textAlignment w:val="auto"/>
        <w:rPr>
          <w:rFonts w:hint="default"/>
          <w:sz w:val="24"/>
          <w:szCs w:val="24"/>
          <w:rtl w:val="0"/>
          <w:lang w:val="pt-BR"/>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0" w:firstLineChars="0"/>
        <w:jc w:val="both"/>
        <w:textAlignment w:val="auto"/>
        <w:rPr>
          <w:rFonts w:hint="default"/>
          <w:sz w:val="24"/>
          <w:szCs w:val="24"/>
          <w:rtl w:val="0"/>
        </w:rPr>
      </w:pPr>
      <w:r>
        <w:rPr>
          <w:b/>
          <w:sz w:val="24"/>
          <w:szCs w:val="24"/>
          <w:rtl w:val="0"/>
        </w:rPr>
        <w:t>Palavras-chave:</w:t>
      </w:r>
      <w:r>
        <w:rPr>
          <w:sz w:val="24"/>
          <w:szCs w:val="24"/>
          <w:rtl w:val="0"/>
        </w:rPr>
        <w:t xml:space="preserve"> </w:t>
      </w:r>
      <w:r>
        <w:rPr>
          <w:rFonts w:hint="default"/>
          <w:sz w:val="24"/>
          <w:szCs w:val="24"/>
          <w:rtl w:val="0"/>
        </w:rPr>
        <w:t xml:space="preserve">Educação em Engenharia de Software; Sistemas Multi-Agente Locais; Carga Cognitiva; Carga Computacional; Estratégias Pedagógicas. </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0" w:firstLineChars="0"/>
        <w:jc w:val="both"/>
        <w:textAlignment w:val="auto"/>
        <w:rPr>
          <w:rFonts w:hint="default"/>
          <w:sz w:val="24"/>
          <w:szCs w:val="24"/>
          <w:rtl w:val="0"/>
          <w:lang w:val="pt-BR"/>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0" w:firstLineChars="0"/>
        <w:jc w:val="both"/>
        <w:textAlignment w:val="auto"/>
        <w:rPr>
          <w:rFonts w:hint="default"/>
          <w:sz w:val="24"/>
          <w:szCs w:val="24"/>
          <w:rtl w:val="0"/>
        </w:rPr>
      </w:pPr>
      <w:r>
        <w:rPr>
          <w:b/>
          <w:sz w:val="24"/>
          <w:szCs w:val="24"/>
          <w:rtl w:val="0"/>
        </w:rPr>
        <w:t>Abstract:</w:t>
      </w:r>
      <w:r>
        <w:rPr>
          <w:sz w:val="24"/>
          <w:szCs w:val="24"/>
          <w:rtl w:val="0"/>
        </w:rPr>
        <w:t xml:space="preserve"> </w:t>
      </w:r>
      <w:r>
        <w:rPr>
          <w:rFonts w:hint="default"/>
          <w:sz w:val="24"/>
          <w:szCs w:val="24"/>
          <w:rtl w:val="0"/>
        </w:rPr>
        <w:t>The rapid integration of Artificial Intelligence, such as local multi-agent systems (LMASs) based on quantized models (via QLoRA), poses challenges to Software Engineering education. Current pedagogical strategies and educational policies, such as the National Education Plan (PNE) and the National Curriculum Guidelines (DCNs), often overlook the complexity of these advanced technologies and the severe computational resource limitations in academic environments. This study proposes a pedagogical framework that highlights the critical interdependence between students' Cognitive Load (CL) and Computational Load (CompL) in learning. This dynamic is central to complex tasks, such as local fine-tuning and orchestration of LMASs, especially on consumer-grade hardware with significant constraints. The framework seeks a pedagogical "sweet spot," minimizing unnecessary CL and optimizing learning. The proposed didactic strategies address the trade-off between quantization (Q4 vs. Q8) and CL, the cognitive overload of LMAS orchestration, and adaptation to students' expertise. High-CompL tasks are designed to run asynchronously, with results presented the next day, turning wait times into a managed stage. Support tools make this dynamic visible, aiming to reform curricula and align training with software industry demands.</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0" w:firstLineChars="0"/>
        <w:jc w:val="both"/>
        <w:textAlignment w:val="auto"/>
        <w:rPr>
          <w:rFonts w:hint="default"/>
          <w:sz w:val="24"/>
          <w:szCs w:val="24"/>
          <w:rtl w:val="0"/>
          <w:lang w:val="pt-BR"/>
        </w:rPr>
      </w:pP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0" w:firstLineChars="0"/>
        <w:jc w:val="both"/>
        <w:textAlignment w:val="auto"/>
        <w:rPr>
          <w:rFonts w:hint="default"/>
          <w:sz w:val="24"/>
          <w:szCs w:val="24"/>
          <w:rtl w:val="0"/>
          <w:lang w:val="pt-BR"/>
        </w:rPr>
      </w:pPr>
      <w:r>
        <w:rPr>
          <w:b/>
          <w:sz w:val="24"/>
          <w:szCs w:val="24"/>
          <w:rtl w:val="0"/>
        </w:rPr>
        <w:t>Keywords:</w:t>
      </w:r>
      <w:r>
        <w:rPr>
          <w:sz w:val="24"/>
          <w:szCs w:val="24"/>
          <w:rtl w:val="0"/>
        </w:rPr>
        <w:t xml:space="preserve"> Software Engineering Education; Local Multi-Agent Systems; Cognitive Load; Computational Load; Pedagogical Strategies</w:t>
      </w:r>
      <w:r>
        <w:rPr>
          <w:rFonts w:hint="default"/>
          <w:sz w:val="24"/>
          <w:szCs w:val="24"/>
          <w:rtl w:val="0"/>
          <w:lang w:val="pt-BR"/>
        </w:rPr>
        <w:t>.</w:t>
      </w:r>
    </w:p>
    <w:p>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0" w:firstLineChars="0"/>
        <w:jc w:val="both"/>
        <w:textAlignment w:val="auto"/>
        <w:rPr>
          <w:rFonts w:hint="default"/>
          <w:sz w:val="24"/>
          <w:szCs w:val="24"/>
          <w:rtl w:val="0"/>
          <w:lang w:val="pt-BR"/>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jc w:val="both"/>
        <w:textAlignment w:val="auto"/>
        <w:rPr>
          <w:sz w:val="24"/>
          <w:szCs w:val="24"/>
        </w:rPr>
      </w:pPr>
      <w:r>
        <w:rPr>
          <w:b/>
          <w:sz w:val="24"/>
          <w:szCs w:val="24"/>
          <w:rtl w:val="0"/>
        </w:rPr>
        <w:t>1. INTRODUÇÃO</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rtl w:val="0"/>
        </w:rPr>
      </w:pPr>
      <w:r>
        <w:rPr>
          <w:rFonts w:hint="default"/>
          <w:sz w:val="24"/>
          <w:szCs w:val="24"/>
          <w:rtl w:val="0"/>
        </w:rPr>
        <w:t>As universidades federais brasileiras oferecem bacharelados em Engenharia de Software com ampla variação na quantidade de vagas autorizadas. A UNB destaca-se com 112 vagas, seguida pela UFC, com 100 e 50 vagas, e a UTFPR, com 88 vagas em dois campi. Instituições como UFG, UFERSA e UFRN disponibilizam 60 vagas cada, enquanto UFMS oferta 70. Já o IFPE, com 30 vagas, e IFG, com 35, têm menor capacidade. Outras, como IFAM, IFSP, IFPR, UFR, UNIPAMPA e UFAM, oferecem entre 40 e 50 vagas, atendendo à crescente demanda por profissionais qualificados na área.</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rtl w:val="0"/>
        </w:rPr>
      </w:pPr>
      <w:r>
        <w:rPr>
          <w:rFonts w:hint="default"/>
          <w:sz w:val="24"/>
          <w:szCs w:val="24"/>
          <w:rtl w:val="0"/>
        </w:rPr>
        <w:t>A Engenharia de Software (ES) está passando por uma profunda transformação impulsionada pela Inteligência Artificial (IA), especialmente por Modelos de Linguagem Grandes (LLMs) e IA Generativa (GenAI) (Bommasani et al., 2021; Hassan et al., 2024). Modelos como GPT, LLaMA (Touvron et al., 2023), Mistral (Jiang et al., 2023) e DeepSeek-R1 (Marjanović et al., 2025) estão impactando todo o ciclo de vida do software (Siddiq et al., 2024; Yetistiren et al., 2024). A viabilidade de executar esses modelos poderosos localmente está aumentando através de técnicas como quantização (Nagel et al., 2021; Dettmers et al., 2022; Yao et al., 2022; Kim et al., 2023; Zhao et al., 2025) e formatos padronizados como GGUF. Isso permite a implantação de Sistemas Multiagentes Locais (LMASs) (Park et al., 2023; Wu et al., 2023) em hardware comum, oferecendo benefícios significativos em termos de custo, latência, privacidade e capacidades de computação de borda (Husom et al., 2025; Jia et al., 2025; Birkmose et al., 2025).</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rtl w:val="0"/>
        </w:rPr>
      </w:pPr>
      <w:r>
        <w:rPr>
          <w:rFonts w:hint="default"/>
          <w:sz w:val="24"/>
          <w:szCs w:val="24"/>
          <w:rtl w:val="0"/>
        </w:rPr>
        <w:t>Essa mudança tecnológica coincide com discussões nacionais significativas no Brasil sobre o papel da IA na educação e na sociedade. Como evidenciado pelos debates em torno do novo Plano Nacional de Educação (PNE) em abril de 2025, há um claro impulso para integrar a IA na estrutura educacional. Por exemplo, Claudio Alcides Jacoski, presidente da Abruc, defendeu explicitamente que o projeto do PNE incorpore regras para o uso da IA no sistema educacional, ao mesmo tempo que enfatizou a necessidade de reduzir a distância entre o ensino superior e o setor produtivo. Esse sentimento ecoa no interesse público, demonstrado por perguntas de cidadãos durante eventos relacionados ao PNE sobre a inclusão formal de disciplinas como Inteligência Artificial e Introdução à Ciência de Dados. Concomitantemente, o legislativo brasileiro está abordando ativamente a regulamentação da IA, com esforços em andamento no início de 2025 para consolidar várias proposições (ex: PLs 4025/2023, 1465/2021, 1473/2023) sob o guarda-chuva do PL 2338/2023, que foca no uso "ético e responsável" da IA centrado no bem-estar humano, conforme destacado em um requerimento do Dep. Luiz Carlos Hauly.</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rtl w:val="0"/>
        </w:rPr>
      </w:pPr>
      <w:r>
        <w:rPr>
          <w:rFonts w:hint="default"/>
          <w:sz w:val="24"/>
          <w:szCs w:val="24"/>
          <w:rtl w:val="0"/>
        </w:rPr>
        <w:t xml:space="preserve">Apesar desse movimento, a educação em ES, particularmente no contexto brasileiro (BRASIL, 2014, 2016, 2019), enfrenta desafios significativos para incorporar eficazmente essas competências avançadas de IA (Mhlanga, 2023). Este artigo foca especificamente na interdependência crítica entre a Carga Cognitiva (CL - Cognitive Load) humana (Sweller, 1988) e a Carga Computacional (CompL - Computational Load) da máquina em atividades educacionais envolvendo tarefas complexas de IA, como o ajuste fino de modelos (ex: QLoRA - Dettmers et al., 2023) e a orquestração de LMASs (Luo et al., 2025; Zhang et al., 2025). O equilíbrio dessas cargas é crucial para o aprendizado e desempenho ótimos (Retzlaff et al., 2024), com um hipotético "ponto ideal" (H3) onde uma CompL moderada minimiza a CL. Tarefas como configurar o ajuste fino QLoRA ou projetar fluxos de trabalho multiagentes (Truong et al., 2023; Wu et al., 2023; OpenAI, 2025) impõem inerentemente alta CL aos alunos e significativa CompL em ambientes acadêmicos frequentemente com recursos limitados (Bai et al., 2024; Ni et al., 2025), dificultando assim o processo de aprendizagem. </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rtl w:val="0"/>
        </w:rPr>
      </w:pPr>
      <w:r>
        <w:rPr>
          <w:rFonts w:hint="default"/>
          <w:sz w:val="24"/>
          <w:szCs w:val="24"/>
          <w:rtl w:val="0"/>
        </w:rPr>
        <w:t>Para lidar com essa lacuna pedagógica crítica, propõe-se uma abordagem centrada na gestão explícita da interação CL-CompL: (1) Reconhecer e gerenciar o trade-off CL-CompL (ex: tomar decisões informadas entre níveis de quantização Q8 vs. Q4 com base nas demandas da tarefa e recursos disponíveis) e utilizar técnicas de scaffolding (Wood et al., 1976) para gerenciar a complexidade; (2) Desenvolver e implementar ferramentas que permitam a alunos e instrutores monitorar tanto a CL subjetiva (Paas et al., 2003) quanto métricas objetivas de CompL, fomentando a consciência metacognitiva (Flavell, 1979; Zimmerman, 2002) sobre o processo de aprendizagem e a utilização de recursos; (3) Adaptar as estratégias instrucionais com base na progressão da expertise do aprendiz (Anderson, 1982; Chase e Simon, 1973), introduzindo cuidadosamente a complexidade para evitar sobrecarga cognitiva e, ao mesmo tempo, mitigar o efeito de reversão da expertise (expertise reversal effect) (Kalyuga et al., 2003) para alunos mais avançados.</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rtl w:val="0"/>
        </w:rPr>
      </w:pPr>
      <w:r>
        <w:rPr>
          <w:rFonts w:hint="default"/>
          <w:sz w:val="24"/>
          <w:szCs w:val="24"/>
          <w:rtl w:val="0"/>
        </w:rPr>
        <w:t>O objetivo final é guiar os alunos para que operem dentro do "ponto ideal" (H3) proposto de eficiência cognitiva e computacional. Esta estrutura pedagógica visa preencher as lacunas identificadas na educação contemporânea em ES, facilitando a integração significativa de técnicas de ponta como QLoRA e LMASs nos currículos. Ao fazer isso, busca alinhar melhor o ensino superior brasileiro (BRASIL, 2014, 2016, 2019) com as demandas da era da IA (Hassan et al., 2024), respondendo proativamente aos apelos nacionais por integração da IA na educação e pelo desenvolvimento de práticas de IA responsáveis.</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jc w:val="both"/>
        <w:textAlignment w:val="auto"/>
        <w:rPr>
          <w:sz w:val="24"/>
          <w:szCs w:val="24"/>
        </w:rPr>
      </w:pPr>
      <w:r>
        <w:rPr>
          <w:b/>
          <w:sz w:val="24"/>
          <w:szCs w:val="24"/>
          <w:rtl w:val="0"/>
        </w:rPr>
        <w:t>2. REVISÃO DA LITERATURA</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sz w:val="24"/>
          <w:szCs w:val="24"/>
          <w:rtl w:val="0"/>
          <w:lang w:val="pt-BR"/>
        </w:rPr>
      </w:pPr>
      <w:r>
        <w:rPr>
          <w:rFonts w:hint="default"/>
          <w:b w:val="0"/>
          <w:bCs/>
          <w:sz w:val="24"/>
          <w:szCs w:val="24"/>
          <w:rtl w:val="0"/>
        </w:rPr>
        <w:t xml:space="preserve">A presente revisão da literatura examina criticamente as fundações teóricas e empíricas para integrar a Inteligência Artificial (AI) nos currículos de Engenharia de Software (SE), focando na interdependência entre Carga Cognitiva (CL) do estudante e Carga Computacional (CompL) do ambiente. A análise aborda quatro eixos: (1) oportunidades e desafios da AI, especialmente sistemas multi-agente locais (LMAS), na educação em SE (Siddiq et al., 2024; Yetistiren et al., 2024); (2) o panorama das políticas educacionais brasileiras (PNE - BRASIL, 2014; INEP, 2023; DCNs - BRASIL, 2016; BRASIL, 2019) frente à formação tecnológica e AI; (3) a aplicação da Teoria da Carga Cognitiva (CLT) (Sweller, 1988; Sweller et al., 1998; Van Merriënboer </w:t>
      </w:r>
      <w:r>
        <w:rPr>
          <w:rFonts w:hint="default"/>
          <w:b w:val="0"/>
          <w:bCs/>
          <w:sz w:val="24"/>
          <w:szCs w:val="24"/>
          <w:rtl w:val="0"/>
          <w:lang w:val="pt-BR"/>
        </w:rPr>
        <w:t>e</w:t>
      </w:r>
      <w:r>
        <w:rPr>
          <w:rFonts w:hint="default"/>
          <w:b w:val="0"/>
          <w:bCs/>
          <w:sz w:val="24"/>
          <w:szCs w:val="24"/>
          <w:rtl w:val="0"/>
        </w:rPr>
        <w:t xml:space="preserve"> Sweller, 2005) para entender dificuldades em domínios complexos como SE e AI (Duran et al., 2022; Xinogalos, 2021); e (4) os desafios pedagógicos específicos do ensino de ajuste fino local (QLoRA - Dettmers et al., 2023) e orquestração de LMASs (Luo et al., 2025). O objetivo é identificar lacunas que justifiquem um quadro pedagógico baseado na gestão equilibrada CL-CompL, considerando restrições de recursos computacionais educacionais (Bai et al., 2024).</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sz w:val="24"/>
          <w:szCs w:val="24"/>
          <w:rtl w:val="0"/>
          <w:lang w:val="pt-BR"/>
        </w:rPr>
      </w:pPr>
      <w:r>
        <w:rPr>
          <w:rFonts w:hint="default"/>
          <w:b w:val="0"/>
          <w:bCs/>
          <w:sz w:val="24"/>
          <w:szCs w:val="24"/>
          <w:rtl w:val="0"/>
        </w:rPr>
        <w:t xml:space="preserve">A rápida evolução da SE pela AI Generativa (GenAI), com ferramentas como Code Llama (Roziere et al., 2023), StarCoder (Li et al., 2023) e assistentes de codificação (Bird et al., 2022; Kazemitaar et al., 2024), promete ganhos de produtividade (Leinonen et al., 2023) e oportunidades para focar em habilidades de alto nível, personalizar aprendizado (Kotalwar et al., 2025) e desenvolver engenharia de prompt (Spiess et al., 2025). Contudo, surgem desafios (Hassan et al., 2024) como aprendizado superficial (Piccolo et al., 2024), comprometimento de fundamentos (Luan et al., 2023), e a necessidade de avaliação crítica das saídas instáveis ou inseguras dos modelos (Perry et al., 2022; Tian et al., 2023). Interfaces e processos inadequados aumentam a Carga Extrínseca (ECL) (Sweller, 2010; Mayer </w:t>
      </w:r>
      <w:r>
        <w:rPr>
          <w:rFonts w:hint="default"/>
          <w:b w:val="0"/>
          <w:bCs/>
          <w:sz w:val="24"/>
          <w:szCs w:val="24"/>
          <w:rtl w:val="0"/>
          <w:lang w:val="pt-BR"/>
        </w:rPr>
        <w:t>e</w:t>
      </w:r>
      <w:r>
        <w:rPr>
          <w:rFonts w:hint="default"/>
          <w:b w:val="0"/>
          <w:bCs/>
          <w:sz w:val="24"/>
          <w:szCs w:val="24"/>
          <w:rtl w:val="0"/>
        </w:rPr>
        <w:t xml:space="preserve"> Moreno, 2003), e a falta de atualização curricular e docente revela uma lacuna (Siddiq et al., 2024), especialmente para tópicos avançados como ajuste fino local (Hu et al., 2022; Ayupov </w:t>
      </w:r>
      <w:r>
        <w:rPr>
          <w:rFonts w:hint="default"/>
          <w:b w:val="0"/>
          <w:bCs/>
          <w:sz w:val="24"/>
          <w:szCs w:val="24"/>
          <w:rtl w:val="0"/>
          <w:lang w:val="pt-BR"/>
        </w:rPr>
        <w:t>e</w:t>
      </w:r>
      <w:r>
        <w:rPr>
          <w:rFonts w:hint="default"/>
          <w:b w:val="0"/>
          <w:bCs/>
          <w:sz w:val="24"/>
          <w:szCs w:val="24"/>
          <w:rtl w:val="0"/>
        </w:rPr>
        <w:t xml:space="preserve"> Chirkova, 2022; Liu et al., 2023) e orquestração de LMASs (Wu et al., 2023; Zhang et al., 2025; OpenAI, 2025; Ghosh, 2025; Ahmadi et al., 2024), áreas negligenciadas pela pesquisa focada em ferramentas básicas (Yetistiren et al., 2024).</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sz w:val="24"/>
          <w:szCs w:val="24"/>
          <w:rtl w:val="0"/>
          <w:lang w:val="pt-BR"/>
        </w:rPr>
      </w:pPr>
      <w:r>
        <w:rPr>
          <w:rFonts w:hint="default"/>
          <w:b w:val="0"/>
          <w:bCs/>
          <w:sz w:val="24"/>
          <w:szCs w:val="24"/>
          <w:rtl w:val="0"/>
        </w:rPr>
        <w:t xml:space="preserve">O sistema educacional brasileiro, via PNE (BRASIL, 2014; INEP, 2023) e DCNs (BRASIL, 2016; BRASIL, 2019), responde de forma limitada à revolução da AI. O PNE atual não aborda especificamente a AI, e as revisões (FNE, 2023; MEC, 2024) propõem integrar pensamento computacional (Denning </w:t>
      </w:r>
      <w:r>
        <w:rPr>
          <w:rFonts w:hint="default"/>
          <w:b w:val="0"/>
          <w:bCs/>
          <w:sz w:val="24"/>
          <w:szCs w:val="24"/>
          <w:rtl w:val="0"/>
          <w:lang w:val="pt-BR"/>
        </w:rPr>
        <w:t>e</w:t>
      </w:r>
      <w:r>
        <w:rPr>
          <w:rFonts w:hint="default"/>
          <w:b w:val="0"/>
          <w:bCs/>
          <w:sz w:val="24"/>
          <w:szCs w:val="24"/>
          <w:rtl w:val="0"/>
        </w:rPr>
        <w:t xml:space="preserve"> Tedre, 2019) de forma genérica. As DCNs enfatizam metodologias ativas, mas carecem de diretrizes para conteúdos avançados de AI ou para a gestão pedagógica da CL e CompL. Essa falta de especificidade, somada à flexibilidade curricular, pode levar a implementações desiguais da AI, reforçando a necessidade de políticas mais direcionadas, considerando contextos de desenvolvimento (Mhlanga, 2023).</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sz w:val="24"/>
          <w:szCs w:val="24"/>
          <w:rtl w:val="0"/>
          <w:lang w:val="pt-BR"/>
        </w:rPr>
      </w:pPr>
      <w:r>
        <w:rPr>
          <w:rFonts w:hint="default"/>
          <w:b w:val="0"/>
          <w:bCs/>
          <w:sz w:val="24"/>
          <w:szCs w:val="24"/>
          <w:rtl w:val="0"/>
        </w:rPr>
        <w:t xml:space="preserve">A Teoria da Carga Cognitiva (CLT) (Sweller, 1988; Sweller et al., 1998; Van Merriënboer </w:t>
      </w:r>
      <w:r>
        <w:rPr>
          <w:rFonts w:hint="default"/>
          <w:b w:val="0"/>
          <w:bCs/>
          <w:sz w:val="24"/>
          <w:szCs w:val="24"/>
          <w:rtl w:val="0"/>
          <w:lang w:val="pt-BR"/>
        </w:rPr>
        <w:t>e</w:t>
      </w:r>
      <w:r>
        <w:rPr>
          <w:rFonts w:hint="default"/>
          <w:b w:val="0"/>
          <w:bCs/>
          <w:sz w:val="24"/>
          <w:szCs w:val="24"/>
          <w:rtl w:val="0"/>
        </w:rPr>
        <w:t xml:space="preserve"> Sweller, 2005) oferece um framework para entender dificuldades de aprendizagem. A CLT distingue Carga Intrínseca (ICL - complexidade inerente), Carga Extrínseca (ECL - design instrucional) e Carga Germane (GCL - construção de esquemas) (Sweller, 2010). Na educação em SE (Duran et al., 2022; Xinogalos, 2021; Caspersen </w:t>
      </w:r>
      <w:r>
        <w:rPr>
          <w:rFonts w:hint="default"/>
          <w:b w:val="0"/>
          <w:bCs/>
          <w:sz w:val="24"/>
          <w:szCs w:val="24"/>
          <w:rtl w:val="0"/>
          <w:lang w:val="pt-BR"/>
        </w:rPr>
        <w:t>e</w:t>
      </w:r>
      <w:r>
        <w:rPr>
          <w:rFonts w:hint="default"/>
          <w:b w:val="0"/>
          <w:bCs/>
          <w:sz w:val="24"/>
          <w:szCs w:val="24"/>
          <w:rtl w:val="0"/>
        </w:rPr>
        <w:t xml:space="preserve"> Bennedsen, 2007), a programação impõe alta ICL (Qian </w:t>
      </w:r>
      <w:r>
        <w:rPr>
          <w:rFonts w:hint="default"/>
          <w:b w:val="0"/>
          <w:bCs/>
          <w:sz w:val="24"/>
          <w:szCs w:val="24"/>
          <w:rtl w:val="0"/>
          <w:lang w:val="pt-BR"/>
        </w:rPr>
        <w:t>e</w:t>
      </w:r>
      <w:r>
        <w:rPr>
          <w:rFonts w:hint="default"/>
          <w:b w:val="0"/>
          <w:bCs/>
          <w:sz w:val="24"/>
          <w:szCs w:val="24"/>
          <w:rtl w:val="0"/>
        </w:rPr>
        <w:t xml:space="preserve"> Lehman, 2017), enquanto má instrução aumenta a ECL (Mayer </w:t>
      </w:r>
      <w:r>
        <w:rPr>
          <w:rFonts w:hint="default"/>
          <w:b w:val="0"/>
          <w:bCs/>
          <w:sz w:val="24"/>
          <w:szCs w:val="24"/>
          <w:rtl w:val="0"/>
          <w:lang w:val="pt-BR"/>
        </w:rPr>
        <w:t>e</w:t>
      </w:r>
      <w:r>
        <w:rPr>
          <w:rFonts w:hint="default"/>
          <w:b w:val="0"/>
          <w:bCs/>
          <w:sz w:val="24"/>
          <w:szCs w:val="24"/>
          <w:rtl w:val="0"/>
        </w:rPr>
        <w:t xml:space="preserve"> Moreno, 2003). Estratégias como exemplos trabalhados (Sweller </w:t>
      </w:r>
      <w:r>
        <w:rPr>
          <w:rFonts w:hint="default"/>
          <w:b w:val="0"/>
          <w:bCs/>
          <w:sz w:val="24"/>
          <w:szCs w:val="24"/>
          <w:rtl w:val="0"/>
          <w:lang w:val="pt-BR"/>
        </w:rPr>
        <w:t>e</w:t>
      </w:r>
      <w:r>
        <w:rPr>
          <w:rFonts w:hint="default"/>
          <w:b w:val="0"/>
          <w:bCs/>
          <w:sz w:val="24"/>
          <w:szCs w:val="24"/>
          <w:rtl w:val="0"/>
        </w:rPr>
        <w:t xml:space="preserve"> Chandler, 1994) e fading ajudam a gerenciar a carga. O efeito de expertise reversa (Kalyuga et al., 2003) destaca a necessidade de adaptação (considerando estudos sobre expertise de Anderson, 1982; Chase </w:t>
      </w:r>
      <w:r>
        <w:rPr>
          <w:rFonts w:hint="default"/>
          <w:b w:val="0"/>
          <w:bCs/>
          <w:sz w:val="24"/>
          <w:szCs w:val="24"/>
          <w:rtl w:val="0"/>
          <w:lang w:val="pt-BR"/>
        </w:rPr>
        <w:t>e</w:t>
      </w:r>
      <w:r>
        <w:rPr>
          <w:rFonts w:hint="default"/>
          <w:b w:val="0"/>
          <w:bCs/>
          <w:sz w:val="24"/>
          <w:szCs w:val="24"/>
          <w:rtl w:val="0"/>
        </w:rPr>
        <w:t xml:space="preserve"> Simon, 1973 e automaticidade de Shiffrin </w:t>
      </w:r>
      <w:r>
        <w:rPr>
          <w:rFonts w:hint="default"/>
          <w:b w:val="0"/>
          <w:bCs/>
          <w:sz w:val="24"/>
          <w:szCs w:val="24"/>
          <w:rtl w:val="0"/>
          <w:lang w:val="pt-BR"/>
        </w:rPr>
        <w:t>e</w:t>
      </w:r>
      <w:r>
        <w:rPr>
          <w:rFonts w:hint="default"/>
          <w:b w:val="0"/>
          <w:bCs/>
          <w:sz w:val="24"/>
          <w:szCs w:val="24"/>
          <w:rtl w:val="0"/>
        </w:rPr>
        <w:t xml:space="preserve"> Schneider, 1977). Tópicos avançados de AI (ajuste fino, LMASs) elevam a ICL e a ECL devido à complexidade conceitual/procedural e ferramentas imaturas, exigindo design instrucional que otimize a GCL via metacognição (Flavell, 1979) e prática, talvez informado pela neurociência educacional (Gkintoni et al., 2025).</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sz w:val="24"/>
          <w:szCs w:val="24"/>
          <w:rtl w:val="0"/>
          <w:lang w:val="pt-BR"/>
        </w:rPr>
      </w:pPr>
      <w:r>
        <w:rPr>
          <w:rFonts w:hint="default"/>
          <w:b w:val="0"/>
          <w:bCs/>
          <w:sz w:val="24"/>
          <w:szCs w:val="24"/>
          <w:rtl w:val="0"/>
        </w:rPr>
        <w:t>O ensino de ajuste fino local (QLoRA, Dettmers et al., 2023) e orquestração de LMASs (Luo et al., 2025) apresenta desafios pedagógicos específicos, amplificando a CL e introduzindo a CompL como fator interdependente. O ajuste fino local exige compreensão de conceitos complexos (transferência de aprendizado, quantização - FP16/INT8/INT4 discutidos por Nagel et al., 2021; Dettmers et al., 2022; Yao et al., 2022; Kim et al., 2023; Zhao et al., 2025; LoRA - Hu et al., 2022; Double Quantization - Dettmers et al., 2023), elevando a ICL. A prática envolve tarefas cognitivamente exigentes (curadoria, hiperparâmetros, interpretação de perdas instáveis, especialmente com Q4), cuja instabilidade aumenta ICL e ECL (ligado a desafios de raciocínio dos modelos - Chen et al., 2025; Pu et al., 2025; Kumar et al., 2025; Wang et al., 2025; Xia et al., 2025). A interação com a CompL é crítica em hardware limitado (Bai et al., 2024; Husom et al., 2025; Jia et al., 2025; Ni et al., 2025), forçando trade-offs (Q4 vs. Q8 - H1) entre uso de VRAM e estabilidade/CL. A orquestração de LMASs herda complexidades de sistemas distribuídos (Andrews, 2000; Ben-Ari, 2006), elevando a ICL, agravada pela natureza probabilística dos LLMs (exigindo design de prompts - Spiess et al., 2025; e protocolos - Ghosh, 2025; Ahmadi et al., 2024). A depuração complexa (Truong et al., 2023) e ferramentas não ergonômicas (LangChain, etc. - Wu et al., 2023; Zhang et al., 2025; OpenAI, 2025; Luo et al., 2025) aumentam a ECL, enquanto a execução paralela eleva a CompL agregada. A literatura carece de abordagens sistemáticas para ensinar esses tópicos considerando CL-CompL e avaliação (Liu Y et al., 2025; Kim Y et al., 2025).</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sz w:val="24"/>
          <w:szCs w:val="24"/>
          <w:rtl w:val="0"/>
          <w:lang w:val="pt-BR"/>
        </w:rPr>
      </w:pPr>
      <w:r>
        <w:rPr>
          <w:rFonts w:hint="default"/>
          <w:b w:val="0"/>
          <w:bCs/>
          <w:sz w:val="24"/>
          <w:szCs w:val="24"/>
          <w:rtl w:val="0"/>
        </w:rPr>
        <w:t xml:space="preserve">A interdependência dinâmica CL-CompL é subteorizada na pesquisa educacional. Achados empíricos (H1-H4) indicam que otimizações de CompL (Q4) podem aumentar CL, e tarefas complexas (LMASs) elevam ambas. A relação não linear sugere um "ponto ideal" (H3) onde CompL/Qualidade moderada minimiza CL. Iniciantes (H4) são mais vulneráveis à sobrecarga, especialmente com restrições de CompL. Ignorar essa interação leva a sobrecarga cognitiva ou barreiras computacionais. A literatura raramente aborda essa interação sistêmica cognição-recursos (Paas et al., 2003; Zhang </w:t>
      </w:r>
      <w:r>
        <w:rPr>
          <w:rFonts w:hint="default"/>
          <w:b w:val="0"/>
          <w:bCs/>
          <w:sz w:val="24"/>
          <w:szCs w:val="24"/>
          <w:rtl w:val="0"/>
          <w:lang w:val="pt-BR"/>
        </w:rPr>
        <w:t>e</w:t>
      </w:r>
      <w:r>
        <w:rPr>
          <w:rFonts w:hint="default"/>
          <w:b w:val="0"/>
          <w:bCs/>
          <w:sz w:val="24"/>
          <w:szCs w:val="24"/>
          <w:rtl w:val="0"/>
        </w:rPr>
        <w:t xml:space="preserve"> Norman, 1994) no design instrucional, apesar da importância da interação humano-AI (Amershi et al., 2019; Heer, 2019; Hoc, 2000; Xu, 2019; Retzlaff et al., 2024).</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sz w:val="24"/>
          <w:szCs w:val="24"/>
          <w:rtl w:val="0"/>
        </w:rPr>
      </w:pPr>
      <w:r>
        <w:rPr>
          <w:rFonts w:hint="default"/>
          <w:b w:val="0"/>
          <w:bCs/>
          <w:sz w:val="24"/>
          <w:szCs w:val="24"/>
          <w:rtl w:val="0"/>
        </w:rPr>
        <w:t>Em síntese, a AI transforma a SE (Hassan et al., 2024), mas políticas educacionais (PNE - BRASIL, 2014; DCNs - BRASIL, 2016, 2019) e a pesquisa pedagógica não acompanham, especialmente para tópicos avançados. A CLT (Sweller et al., 1998; Duran et al., 2022) é útil, mas os desafios de ajuste fino (Liu et al., 2023) e LMASs (Luo et al., 2025) introduzem a complexidade da interação CL-CompL em ambientes com recursos limitados (Bai et al., 2024) como uma lacuna crítica. Este trabalho propõe preencher essa lacuna com um quadro pedagógico que gerencie ativamente o trade-off quantização-CL (H1), a sobrecarga da orquestração (H2), a busca pelo "ponto ideal" CL-CompL (H3) e a adaptação à expertise (H4, Kalyuga et al., 2003), visando uma formação em SE mais eficaz e equitativa na era da AI.</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jc w:val="both"/>
        <w:textAlignment w:val="auto"/>
        <w:rPr>
          <w:rFonts w:hint="default"/>
          <w:b w:val="0"/>
          <w:bCs/>
          <w:sz w:val="24"/>
          <w:szCs w:val="24"/>
          <w:rtl w:val="0"/>
          <w:lang w:val="pt-BR"/>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jc w:val="both"/>
        <w:textAlignment w:val="auto"/>
        <w:rPr>
          <w:sz w:val="24"/>
          <w:szCs w:val="24"/>
        </w:rPr>
      </w:pPr>
      <w:r>
        <w:rPr>
          <w:b/>
          <w:sz w:val="24"/>
          <w:szCs w:val="24"/>
          <w:rtl w:val="0"/>
        </w:rPr>
        <w:t>3. METODOLOGIA</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sz w:val="24"/>
          <w:szCs w:val="24"/>
          <w:rtl w:val="0"/>
          <w:lang w:val="pt-BR"/>
        </w:rPr>
      </w:pPr>
      <w:r>
        <w:rPr>
          <w:rFonts w:hint="default"/>
          <w:b w:val="0"/>
          <w:bCs/>
          <w:sz w:val="24"/>
          <w:szCs w:val="24"/>
          <w:rtl w:val="0"/>
          <w:lang w:val="pt-BR"/>
        </w:rPr>
        <w:t>A metodologia visa criar um quadro pedagógico e estratégias didáticas para integrar tópicos avançados de AI, como orquestração de LMAS e ajuste fino local (QLoRA, Dettmers et al., 2023), em currículos de SE. A abordagem sintetiza teoria e empiria, articulando a dinâmica CL-CompL com teorias educacionais, HCI e o contexto brasileiro. O processo integrou sistematicamente quatro pilares: (1) achados empíricos das hipóteses H1-H4 (trade-offs quantização-CL, sobrecarga LMAS, relação não linear CL-CompL, moderação por expertise); (2) a Teoria da Carga Cognitiva (CLT) (Sweller et al., 1998; Van Merriënboer e Sweller, 2005) com seus conceitos de ICL, ECL e GCL; (3) princípios de HCI como usabilidade (Nielsen, 1993), design (Norman, 1988) e feedback (Amershi et al., 2019; Xu, 2019) para minimizar ECL; e (4) análise contextual considerando DCNs (BRASIL, 2016; BRASIL, 2019), limitações de hardware e necessidades formativas. Esta síntese buscou equilibrar teoria, evidência e viabilidade prática para as realidades educacionais locais.</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sz w:val="24"/>
          <w:szCs w:val="24"/>
          <w:rtl w:val="0"/>
          <w:lang w:val="pt-BR"/>
        </w:rPr>
      </w:pPr>
      <w:r>
        <w:rPr>
          <w:rFonts w:hint="default"/>
          <w:b w:val="0"/>
          <w:bCs/>
          <w:sz w:val="24"/>
          <w:szCs w:val="24"/>
          <w:rtl w:val="0"/>
          <w:lang w:val="pt-BR"/>
        </w:rPr>
        <w:t>O desenvolvimento do quadro pedagógico seguiu um processo iterativo e analítico em cinco etapas. Primeiro, traduziram-se os achados CL-CompL para o contexto educacional (ex: impacto da instabilidade de H1 na CL; limitações de VRAM de H2 em laboratórios). Segundo, mapearam-se desafios a objetivos de aprendizagem (ajustar GGUF, projetar LMAS), identificando barreiras. Terceiro, aplicaram-se princípios da CLT: gerenciar ICL (decomposição), minimizar ECL (interfaces, exemplos) e otimizar GCL (metacognição - Flavell, 1979; Zimmerman, 2002; problemas autênticos via PBL/PjBL - Hmelo-Silver, 2004; Thomas, 2000; comparação crítica). Quarto, incorporaram-se restrições contextuais, priorizando estratégias viáveis (modelos moderados, gestão de VRAM, execução assíncrona como pedagogia). Quinto, sintetizaram-se as análises em um quadro coerente com estratégias para currículo, laboratórios, avaliação, adaptação à expertise e a visão da plataforma CrossDebate.</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sz w:val="24"/>
          <w:szCs w:val="24"/>
          <w:rtl w:val="0"/>
          <w:lang w:val="pt-BR"/>
        </w:rPr>
      </w:pPr>
      <w:r>
        <w:rPr>
          <w:rFonts w:hint="default"/>
          <w:b w:val="0"/>
          <w:bCs/>
          <w:sz w:val="24"/>
          <w:szCs w:val="24"/>
          <w:rtl w:val="0"/>
          <w:lang w:val="pt-BR"/>
        </w:rPr>
        <w:t>A operacionalização pedagógica redefiniu CL e CompL. A CL do estudante foi entendida como esforço mental total (ICL: complexidade AI; ECL: má instrução/ferramentas; GCL: esforço produtivo), medida via autoavaliações (escalas tipo SEQ - Paas et al., 2003), observação e desempenho. A CompL foi definida como demanda de recursos (VRAM, CPU, tempo), medida objetivamente (nvidia-smi). A gestão pedagógica da CompL incluiu planejamento (execuções assíncronas) e integração curricular (discussão sobre otimização). O foco central foi equilibrar CL e CompL para criar experiências desafiadoras, mas viáveis, promovendo aprendizado profundo e habilidades transferíveis para a prática profissional em SE na era da AI, unindo rigor teórico, evidência empírica e sensibilidade contextual.</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jc w:val="both"/>
        <w:textAlignment w:val="auto"/>
        <w:rPr>
          <w:rFonts w:hint="default"/>
          <w:b w:val="0"/>
          <w:bCs/>
          <w:sz w:val="24"/>
          <w:szCs w:val="24"/>
          <w:rtl w:val="0"/>
          <w:lang w:val="pt-BR"/>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jc w:val="both"/>
        <w:textAlignment w:val="auto"/>
        <w:rPr>
          <w:sz w:val="24"/>
          <w:szCs w:val="24"/>
        </w:rPr>
      </w:pPr>
      <w:r>
        <w:rPr>
          <w:b/>
          <w:sz w:val="24"/>
          <w:szCs w:val="24"/>
          <w:rtl w:val="0"/>
        </w:rPr>
        <w:t>4. ANÁLISE DE DADOS</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sz w:val="24"/>
          <w:szCs w:val="24"/>
          <w:rtl w:val="0"/>
          <w:lang w:val="pt-BR"/>
        </w:rPr>
      </w:pPr>
      <w:r>
        <w:rPr>
          <w:rFonts w:hint="default"/>
          <w:b w:val="0"/>
          <w:bCs/>
          <w:sz w:val="24"/>
          <w:szCs w:val="24"/>
          <w:rtl w:val="0"/>
          <w:lang w:val="pt-BR"/>
        </w:rPr>
        <w:t>Este texto detalha o processo analítico interno empregado para avaliar, refinar e validar conceitualmente o quadro pedagógico e as estratégias didáticas propostas para integrar tópicos avançados de AI (LMAS, QLoRA) no ensino de SE. Distinguindo-se de validações empíricas tradicionais, este estudo focou em uma reflexão crítica e sistemática sobre a própria proposta, sem coleta de novos dados, baseando-se em teorias educacionais (CLT - Sweller et al., 1998; HCI - Nielsen, 1993; Norman, 1988), achados empíricos prévios sobre a dinâmica CL-CompL (hipóteses H1-H4) e considerações contextuais (limitações de hardware no Brasil). O objetivo foi assegurar que o quadro resultante fosse teoricamente sólido, coerente, empiricamente informado, contextualmente relevante e viável para implementação por educadores.</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sz w:val="24"/>
          <w:szCs w:val="24"/>
          <w:rtl w:val="0"/>
          <w:lang w:val="pt-BR"/>
        </w:rPr>
      </w:pPr>
      <w:r>
        <w:rPr>
          <w:rFonts w:hint="default"/>
          <w:b w:val="0"/>
          <w:bCs/>
          <w:sz w:val="24"/>
          <w:szCs w:val="24"/>
          <w:rtl w:val="0"/>
          <w:lang w:val="pt-BR"/>
        </w:rPr>
        <w:t>O processo analítico desdobrou-se em três fases principais. Inicialmente, definiram-se critérios rigorosos para avaliar a proposta, incluindo coerência teórica (alinhamento com CLT, HCI), fundamentação empírica (conexão com H1-H4), viabilidade prática (considerando CompL e contexto) e potencial de impacto pedagógico (promoção de aprendizado profundo e competências AI em SE). Subsequentemente, esses critérios foram aplicados sistematicamente a cada componente da proposta – princípios, estratégias curriculares, atividades práticas (informadas por pedagogias ativas como as de Hmelo-Silver, 2004 e Thomas, 2000), ferramentas de apoio, avaliação e adaptação. Por fim, realizou-se um mapeamento explícito conectando cada estratégia aos achados empíricos (H1-H4), fundamentos teóricos (CLT, HCI, pedagogia ativa) e objetivos de aprendizagem, garantindo rastreabilidade e justificação lógica.</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sz w:val="24"/>
          <w:szCs w:val="24"/>
          <w:rtl w:val="0"/>
          <w:lang w:val="pt-BR"/>
        </w:rPr>
      </w:pPr>
      <w:r>
        <w:rPr>
          <w:rFonts w:hint="default"/>
          <w:b w:val="0"/>
          <w:bCs/>
          <w:sz w:val="24"/>
          <w:szCs w:val="24"/>
          <w:rtl w:val="0"/>
          <w:lang w:val="pt-BR"/>
        </w:rPr>
        <w:t>A análise também deu ênfase à gestão prática da CompL, sugerindo soluções como o uso de modelos de linguagem de tamanho moderado, quantização estratégica (Q4/Q8) com suporte pedagógico adequado, e a execução assíncrona de tarefas computacionalmente intensivas, transformando limitações em oportunidades de aprendizado. Adicionalmente, a estrutura final do quadro pedagógico foi organizada em categorias funcionais claras – princípios gerais, estratégias curriculares, design de atividades, recomendações para ferramentas (plataforma CrossDebate), abordagens de avaliação e adaptação à expertise – visando facilitar sua adoção por educadores.</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sz w:val="24"/>
          <w:szCs w:val="24"/>
          <w:rtl w:val="0"/>
          <w:lang w:val="pt-BR"/>
        </w:rPr>
      </w:pPr>
    </w:p>
    <w:p>
      <w:pPr>
        <w:keepNext w:val="0"/>
        <w:keepLines w:val="0"/>
        <w:pageBreakBefore w:val="0"/>
        <w:widowControl w:val="0"/>
        <w:kinsoku/>
        <w:wordWrap/>
        <w:overflowPunct/>
        <w:topLinePunct w:val="0"/>
        <w:autoSpaceDE/>
        <w:autoSpaceDN/>
        <w:bidi w:val="0"/>
        <w:adjustRightInd/>
        <w:snapToGrid/>
        <w:spacing w:beforeLines="0" w:afterLines="0" w:line="240" w:lineRule="auto"/>
        <w:jc w:val="center"/>
        <w:textAlignment w:val="auto"/>
        <w:rPr>
          <w:rFonts w:hint="default"/>
          <w:sz w:val="24"/>
          <w:szCs w:val="24"/>
        </w:rPr>
      </w:pPr>
      <w:r>
        <w:rPr>
          <w:rFonts w:hint="default"/>
          <w:b/>
          <w:bCs/>
          <w:sz w:val="24"/>
          <w:szCs w:val="24"/>
          <w:lang w:val="pt-BR"/>
        </w:rPr>
        <w:t>Figura 1</w:t>
      </w:r>
      <w:r>
        <w:rPr>
          <w:rFonts w:hint="default"/>
          <w:sz w:val="24"/>
          <w:szCs w:val="24"/>
          <w:lang w:val="pt-BR"/>
        </w:rPr>
        <w:t xml:space="preserve"> - </w:t>
      </w:r>
      <w:r>
        <w:rPr>
          <w:rFonts w:hint="default"/>
          <w:sz w:val="24"/>
          <w:szCs w:val="24"/>
        </w:rPr>
        <w:t xml:space="preserve">Interface do CrossDebate mostrando o painel de </w:t>
      </w:r>
      <w:r>
        <w:rPr>
          <w:rFonts w:hint="default"/>
          <w:sz w:val="24"/>
          <w:szCs w:val="24"/>
          <w:lang w:val="pt-BR"/>
        </w:rPr>
        <w:t>ajuste fino</w:t>
      </w:r>
    </w:p>
    <w:p>
      <w:pPr>
        <w:keepNext w:val="0"/>
        <w:keepLines w:val="0"/>
        <w:pageBreakBefore w:val="0"/>
        <w:widowControl w:val="0"/>
        <w:kinsoku/>
        <w:wordWrap/>
        <w:overflowPunct/>
        <w:topLinePunct w:val="0"/>
        <w:autoSpaceDE/>
        <w:autoSpaceDN/>
        <w:bidi w:val="0"/>
        <w:adjustRightInd/>
        <w:snapToGrid/>
        <w:spacing w:beforeLines="0" w:afterLines="0" w:line="240" w:lineRule="auto"/>
        <w:ind w:firstLine="400" w:firstLineChars="200"/>
        <w:jc w:val="center"/>
        <w:textAlignment w:val="auto"/>
        <w:rPr>
          <w:rFonts w:hint="default"/>
          <w:sz w:val="20"/>
          <w:szCs w:val="20"/>
        </w:rPr>
      </w:pPr>
      <w:r>
        <w:rPr>
          <w:sz w:val="20"/>
          <w:szCs w:val="20"/>
        </w:rPr>
        <w:drawing>
          <wp:inline distT="0" distB="0" distL="114300" distR="114300">
            <wp:extent cx="4692650" cy="3677920"/>
            <wp:effectExtent l="0" t="0" r="12700"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692650" cy="3677920"/>
                    </a:xfrm>
                    <a:prstGeom prst="rect">
                      <a:avLst/>
                    </a:prstGeom>
                    <a:noFill/>
                    <a:ln>
                      <a:noFill/>
                    </a:ln>
                  </pic:spPr>
                </pic:pic>
              </a:graphicData>
            </a:graphic>
          </wp:inline>
        </w:drawing>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sz w:val="20"/>
          <w:szCs w:val="20"/>
          <w:lang w:val="pt-BR"/>
        </w:rPr>
      </w:pPr>
      <w:r>
        <w:rPr>
          <w:rFonts w:hint="default"/>
          <w:b/>
          <w:bCs/>
          <w:sz w:val="20"/>
          <w:szCs w:val="20"/>
          <w:lang w:val="pt-BR"/>
        </w:rPr>
        <w:t xml:space="preserve">Fonte: </w:t>
      </w:r>
      <w:r>
        <w:rPr>
          <w:rFonts w:hint="default"/>
          <w:sz w:val="20"/>
          <w:szCs w:val="20"/>
          <w:lang w:val="pt-BR"/>
        </w:rPr>
        <w:t>Plataforma CrossDebate</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sz w:val="20"/>
          <w:szCs w:val="20"/>
          <w:rtl w:val="0"/>
          <w:lang w:val="pt-BR"/>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sz w:val="24"/>
          <w:szCs w:val="24"/>
          <w:rtl w:val="0"/>
          <w:lang w:val="pt-BR"/>
        </w:rPr>
      </w:pPr>
      <w:r>
        <w:rPr>
          <w:rFonts w:hint="default"/>
          <w:b w:val="0"/>
          <w:bCs/>
          <w:sz w:val="24"/>
          <w:szCs w:val="24"/>
          <w:rtl w:val="0"/>
          <w:lang w:val="pt-BR"/>
        </w:rPr>
        <w:t>Concluindo, este processo analítico interno foi fundamental para consolidar os insights da pesquisa original em uma proposta pedagógica estruturada, coerente e pragmática, capaz de equilibrar os desafios teóricos, empíricos e contextuais. A ênfase na interação dinâmica CL-CompL, combinada com estratégias de ensino ativas e contextualizadas, visa preparar os estudantes para enfrentar os trade-offs reais na aplicação de AI em SE, fomentando aprendizado significativo e o desenvolvimento de competências profissionais críticas.</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jc w:val="both"/>
        <w:textAlignment w:val="auto"/>
        <w:rPr>
          <w:rFonts w:hint="default"/>
          <w:b w:val="0"/>
          <w:bCs/>
          <w:sz w:val="24"/>
          <w:szCs w:val="24"/>
          <w:rtl w:val="0"/>
          <w:lang w:val="pt-BR"/>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jc w:val="both"/>
        <w:textAlignment w:val="auto"/>
        <w:rPr>
          <w:sz w:val="24"/>
          <w:szCs w:val="24"/>
        </w:rPr>
      </w:pPr>
      <w:r>
        <w:rPr>
          <w:b/>
          <w:sz w:val="24"/>
          <w:szCs w:val="24"/>
          <w:rtl w:val="0"/>
        </w:rPr>
        <w:t xml:space="preserve">5. RESULTADOS: QUADRO PEDAGÓGICO E ESTRATÉGIAS DIDÁTICAS PARA </w:t>
      </w:r>
      <w:r>
        <w:rPr>
          <w:rFonts w:hint="default"/>
          <w:b/>
          <w:sz w:val="24"/>
          <w:szCs w:val="24"/>
          <w:rtl w:val="0"/>
          <w:lang w:val="pt-BR"/>
        </w:rPr>
        <w:t xml:space="preserve">LMASs </w:t>
      </w:r>
      <w:r>
        <w:rPr>
          <w:b/>
          <w:sz w:val="24"/>
          <w:szCs w:val="24"/>
          <w:rtl w:val="0"/>
        </w:rPr>
        <w:t>NA ENGENHARIA DE SOFTWARE INFORMADAS PELA DINÂMICA CL-COMPL</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sz w:val="24"/>
          <w:szCs w:val="24"/>
          <w:rtl w:val="0"/>
          <w:lang w:val="pt-BR"/>
        </w:rPr>
      </w:pPr>
      <w:r>
        <w:rPr>
          <w:rFonts w:hint="default"/>
          <w:b w:val="0"/>
          <w:bCs/>
          <w:sz w:val="24"/>
          <w:szCs w:val="24"/>
          <w:rtl w:val="0"/>
          <w:lang w:val="pt-BR"/>
        </w:rPr>
        <w:t>A Seção 5 detalha o quadro pedagógico e as estratégias didáticas resultantes para integrar tópicos avançados de AI, como orquestração de LMAS e ajuste fino local via QLoRA (Dettmers et al., 2023), em currículos de SE. Estes resultados emergem da síntese entre achados empíricos sobre a interdependência CL-CompL, a CLT (Sweller et al., 1998), princípios de HCI (Nielsen, 1993; Norman, 1988; Amershi et al., 2019) e metodologias ativas (Hmelo-Silver, 2004; Thomas, 2000). O objetivo é preencher lacunas ao oferecer uma abordagem que gerencie proativamente a dinâmica CL-CompL em ambientes com recursos limitados. O quadro se estrutura em cinco princípios interligados: (1) Reconhecimento explícito da interdependência CL-CompL (baseado em H1, H2, H3), onde decisões técnicas (ex: Q4 vs. Q8 - Nagel et al., 2021; Dettmers et al., 2022) impactam CL, exigindo atividades reflexivas e ferramentas com feedback duplo (VRAM, esforço percebido - SEQ/Paas et al., 2003). (2) Foco no "ponto ideal" como objetivo metacognitivo (derivado de H3), desenvolvendo a capacidade de avaliar trade-offs e justificar escolhas (ex: estrutura LMAS, quantização). (3) Minimização da ECL e otimização da GCL via design instrucional e usabilidade (Mayer e Moreno, 2003), com materiais claros, interfaces intuitivas (CrossDebate), exemplos trabalhados (WEs - Sweller e Chandler, 1994) e feedback formativo (Shute, 2008). (4) Adaptação à expertise e restrições de hardware (evitando expertise reversal - Kalyuga et al., 2003), com sequenciamento gradual, scaffolding diferenciado (Wood et al., 1976) e alternativas para baixa CompL (ex: Phi-3-mini). (5) Integração da AI a práticas autênticas de SE via PBL (Hmelo-Silver, 2004) ou PjBL (Thomas, 2000), com projetos como ajuste fino para tradução de código ou agentes para revisão (Afrin et al., 2025), contextualizando a gestão CL-CompL dentro de práticas emergentes como LLMOps (Pahune e Akhtar, 2025; Tantithamthavorn et al., 2025).</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sz w:val="24"/>
          <w:szCs w:val="24"/>
          <w:rtl w:val="0"/>
          <w:lang w:val="pt-BR"/>
        </w:rPr>
      </w:pPr>
      <w:r>
        <w:rPr>
          <w:rFonts w:hint="default"/>
          <w:b w:val="0"/>
          <w:bCs/>
          <w:sz w:val="24"/>
          <w:szCs w:val="24"/>
          <w:rtl w:val="0"/>
          <w:lang w:val="pt-BR"/>
        </w:rPr>
        <w:t>As estratégias didáticas são categorizadas em cinco áreas. O Sequenciamento Curricular propõe progressão gradual: engenharia de prompt -&gt; quantização -&gt; execução local -&gt; ajuste fino (PEFT/LoRA - Hu et al., 2022; Ayupov e Chirkova, 2022; Liu et al., 2023) -&gt; QLoRA/orquestração LMAS, com complexidade crescente de ferramentas (LM Studio -&gt; bibliotecas). O Design de Atividades Práticas inclui laboratórios comparativos (Q4 vs. Q8), iniciando com Q8 para estabilidade e introduzindo Q4 com scaffolding; para LMASs, começar com fluxos simples usando frameworks (CrewAI - Luo et al., 2025) e focar em depuração; projetos autênticos (geração de testes - Truong et al., 2023) contextualizam a aplicação. As Ferramentas de Apoio, como a plataforma educacional CrossDebate (React/FastAPI) com monitoramento de CompL, visualizações e scaffolding, ou o uso guiado de ferramentas open-source (Ollama, LangChain - Wu et al., 2023) adaptadas a restrições. A Avaliação combina métodos formativos (observação, logs, reflexão - Shute, 2008) e somativos (justificativas, qualidade, depuração), focando no processo e ciente dos desafios de avaliação na era da AI (Tate et al., 2023). A Adaptação à Expertise e Contexto envolve diagnóstico inicial, flexibilidade de ferramentas, adaptação a hardware (modelos menores) e gestão de expectativas via transparência e execução assíncrona.</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b w:val="0"/>
          <w:bCs/>
          <w:sz w:val="24"/>
          <w:szCs w:val="24"/>
          <w:rtl w:val="0"/>
          <w:lang w:val="pt-BR"/>
        </w:rPr>
      </w:pPr>
      <w:r>
        <w:rPr>
          <w:rFonts w:hint="default"/>
          <w:b w:val="0"/>
          <w:bCs/>
          <w:sz w:val="24"/>
          <w:szCs w:val="24"/>
          <w:rtl w:val="0"/>
          <w:lang w:val="pt-BR"/>
        </w:rPr>
        <w:t>A síntese destes resultados ressalta a inovação ao centralizar a gestão da interdependência CL-CompL no design instrucional. A proposta capacita educadores a navegar trade-offs técnicos (eficiência vs. qualidade), mitigar sobrecarga cognitiva em tarefas complexas (QLoRA, LMASs) e desenvolver metacognição para identificar o "ponto ideal". A adaptação a diversas realidades (expertise, hardware) é viabilizada por sequenciamento, scaffolding (Wood et al., 1976) e execução assíncrona. A integração com práticas autênticas de SE via PjBL (Thomas, 2000) torna o aprendizado significativo e transferível para desafios industriais (automação de testes - Truong et al., 2023). A implementação visa formar engenheiros de software mais preparados para a era da AI, capazes de gerenciar trade-offs, adaptar-se e aplicar AI de forma ética e sustentável, com implicações para currículo, docentes, ferramentas e políticas públicas discutidas adiante.</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jc w:val="both"/>
        <w:textAlignment w:val="auto"/>
        <w:rPr>
          <w:rFonts w:hint="default"/>
          <w:b w:val="0"/>
          <w:bCs/>
          <w:sz w:val="24"/>
          <w:szCs w:val="24"/>
          <w:rtl w:val="0"/>
          <w:lang w:val="pt-BR"/>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jc w:val="both"/>
        <w:textAlignment w:val="auto"/>
        <w:rPr>
          <w:sz w:val="24"/>
          <w:szCs w:val="24"/>
        </w:rPr>
      </w:pPr>
      <w:r>
        <w:rPr>
          <w:b/>
          <w:sz w:val="24"/>
          <w:szCs w:val="24"/>
          <w:rtl w:val="0"/>
        </w:rPr>
        <w:t>6. DISCUSSÃO</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rtl w:val="0"/>
        </w:rPr>
      </w:pPr>
      <w:r>
        <w:rPr>
          <w:rFonts w:hint="default"/>
          <w:sz w:val="24"/>
          <w:szCs w:val="24"/>
          <w:rtl w:val="0"/>
        </w:rPr>
        <w:t xml:space="preserve">A discussão apresentada destaca a urgência de uma transformação pedagógica no ensino de Engenharia de Software (SE), centrada na interação dinâmica entre Carga Cognitiva (CL) e Carga Computacional (CompL), para integrar de forma sustentável e eficaz tópicos avançados de Inteligência Artificial (AI), como a orquestração de Sistemas Multi-Agente Locais (LMASs) (Luo et al., 2025; Wu et al., 2023; Zhang et al., 2025) e ajuste fino local (ex.: QLoRA, Dettmers et al., 2023). Essa abordagem, fundamentada em achados empíricos (H1-H4), propõe um quadro conceitual que supera a visão tradicional de ensino focado apenas no "o quê" e no "como usar" ferramentas de AI, integrando a gestão explícita dos trade-offs entre as limitações cognitivas do aprendiz e as restrições computacionais do ambiente. </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rtl w:val="0"/>
        </w:rPr>
      </w:pPr>
      <w:r>
        <w:rPr>
          <w:rFonts w:hint="default"/>
          <w:sz w:val="24"/>
          <w:szCs w:val="24"/>
          <w:rtl w:val="0"/>
        </w:rPr>
        <w:t xml:space="preserve">A Teoria da Carga Cognitiva (CLT) (Sweller et al., 1998; Van Merriënboer </w:t>
      </w:r>
      <w:r>
        <w:rPr>
          <w:rFonts w:hint="default"/>
          <w:sz w:val="24"/>
          <w:szCs w:val="24"/>
          <w:rtl w:val="0"/>
          <w:lang w:val="pt-BR"/>
        </w:rPr>
        <w:t>e</w:t>
      </w:r>
      <w:r>
        <w:rPr>
          <w:rFonts w:hint="default"/>
          <w:sz w:val="24"/>
          <w:szCs w:val="24"/>
          <w:rtl w:val="0"/>
        </w:rPr>
        <w:t xml:space="preserve"> Sweller, 2005), amplamente aplicada em computação (Duran et al., 2022; Xinogalos, 2021), é recontextualizada ao reconhecer que a CompL — como uso de VRAM, tempo de execução e consumo energético (Husom et al., 2025) — não é um mero obstáculo técnico, mas um fator interativo que modula diretamente a CL. Por exemplo, a otimização excessiva da CompL via quantização agressiva (Q4) (Nagel et al., 2021; Dettmers et al., 2022) pode reduzir recursos exigidos, mas gera instabilidade e baixa qualidade de resultados, aumentando a CL devido à necessidade de depuração e validação contínuas. Inversamente, ignorar limitações computacionais pode tornar atividades práticas inviáveis, quebrando o fluxo de aprendizado. O "ponto ideal" entre essas cargas é apresentado como uma competência metacognitiva essencial (Flavell, 1979), exigindo que estudantes analisem dados, justifiquem decisões e equilibrem trade-offs como desempenho técnico, custo computacional e esforço cognitivo — habilidades críticas para engenheiros que atuarão em sistemas híbridos humano-AI (Amershi et al., 2019; Heer, 2019; Hoc, 2000; Xu, 2019).</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rtl w:val="0"/>
        </w:rPr>
      </w:pPr>
      <w:r>
        <w:rPr>
          <w:rFonts w:hint="default"/>
          <w:sz w:val="24"/>
          <w:szCs w:val="24"/>
          <w:rtl w:val="0"/>
        </w:rPr>
        <w:t xml:space="preserve">Essa perspectiva implica mudanças profundas no currículo de SE. Em vez de adicionar disciplinas isoladas de AI, sugere-se integrar a gestão CL-CompL transversalmente, como em Arquitetura de Software, onde a escolha de modelos de AI deve considerar não apenas requisitos técnicos (latência, hardware) mas também o impacto na complexidade de integração e manutenção (considerando práticas de LLMOps, Pahune </w:t>
      </w:r>
      <w:r>
        <w:rPr>
          <w:rFonts w:hint="default"/>
          <w:sz w:val="24"/>
          <w:szCs w:val="24"/>
          <w:rtl w:val="0"/>
          <w:lang w:val="pt-BR"/>
        </w:rPr>
        <w:t>e</w:t>
      </w:r>
      <w:r>
        <w:rPr>
          <w:rFonts w:hint="default"/>
          <w:sz w:val="24"/>
          <w:szCs w:val="24"/>
          <w:rtl w:val="0"/>
        </w:rPr>
        <w:t xml:space="preserve"> Akhtar, 2025; Tantithamthavorn et al., 2025), afetando a CL da equipe. Em Gerência de Projetos, é necessário estimar recursos computacionais para tarefas de AI e planejar a gestão do esforço cognitivo diante de ferramentas instáveis ou em constante evolução. </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rtl w:val="0"/>
        </w:rPr>
      </w:pPr>
      <w:r>
        <w:rPr>
          <w:rFonts w:hint="default"/>
          <w:sz w:val="24"/>
          <w:szCs w:val="24"/>
          <w:rtl w:val="0"/>
        </w:rPr>
        <w:t>Em Interação Humano-Computador (IHC), discute-se o design de interfaces que minimizem a frustração ao lidar com assistentes de código ou plataformas MLOps (Retzlaff et al., 2024). Novos conteúdos, como orquestração de agentes (padrões Master-Worker, frameworks como LangChain), gerenciamento de recursos (monitoramento de VRAM, estratégias de quantização) e metacognição sobre trade-offs, devem ser incorporados. Laboratórios práticos exigem reconfiguração para explorar esses trade-offs com hardware limitado, usando modelos menores (Phi-3, Mistral 7B - Jiang et al., 2023) e quantização criteriosa, com ênfase na análise crítica do processo, não apenas no resultado final. A flexibilidade curricular permitida pelas Diretrizes Curriculares Nacionais (DCNs) brasileiras (BRASIL, 2016; BRASIL, 2019) é um</w:t>
      </w:r>
      <w:r>
        <w:rPr>
          <w:rFonts w:hint="default"/>
          <w:sz w:val="24"/>
          <w:szCs w:val="24"/>
          <w:rtl w:val="0"/>
          <w:lang w:val="pt-BR"/>
        </w:rPr>
        <w:t xml:space="preserve"> importante</w:t>
      </w:r>
      <w:r>
        <w:rPr>
          <w:rFonts w:hint="default"/>
          <w:sz w:val="24"/>
          <w:szCs w:val="24"/>
          <w:rtl w:val="0"/>
        </w:rPr>
        <w:t xml:space="preserve"> recurso, mas sua aplicação requer planejamento estratégico para evitar abordagens superficiais.</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rtl w:val="0"/>
        </w:rPr>
      </w:pPr>
      <w:r>
        <w:rPr>
          <w:rFonts w:hint="default"/>
          <w:sz w:val="24"/>
          <w:szCs w:val="24"/>
          <w:rtl w:val="0"/>
        </w:rPr>
        <w:t>A implementação dessa pedagogia depende criticamente da formação docente. Professores precisam dominar tecnologias emergentes (QLoRA, LMASs), compreender a CLT e suas implicações no design instrucional, e desenvolver estratégias para gerenciar a interação CL-CompL. Programas de desenvolvimento profissional contínuo devem abordar atualização tecnológica, aprofundamento em CLT, competências em gerenciamento de CompL e uso de ferramentas educacionais dedicadas, como a proposta plataforma CrossDebate. A produção de materiais de apoio — guias detalhados, planos de aula testados, modelos pré-quantizados — é essencial para facilitar a adoção em larga escala. Superar resistências exige apresentar o quadro CL-CompL não como uma complicação adicional, mas como uma ferramenta para estruturar a complexidade da AI, tornando o ensino mais eficaz e menos intimidador.</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rtl w:val="0"/>
        </w:rPr>
      </w:pPr>
      <w:r>
        <w:rPr>
          <w:rFonts w:hint="default"/>
          <w:sz w:val="24"/>
          <w:szCs w:val="24"/>
          <w:rtl w:val="0"/>
        </w:rPr>
        <w:t>O desenvolvimento de ferramentas educacionais também é central. Plataformas dedicadas devem abstrair complexidade desnecessária (ex.: interfaces intuitivas para ajuste fino), visualizar métricas de CL-CompL (uso de VRAM, proxies de carga cognitiva), gerenciar recursos de forma transparente (alertas de configurações problemáticas) e integrar scaffolding pedagógico (Wood et al., 1976) (exemplos comentados, feedback just-in-time). A adaptação de ferramentas open source, como Ollama ou LangChain, requer tutoriais passo a passo, notebooks pré-configurados e scripts para monitoramento de CompL, reduzindo a Carga Extrínseca (ECL). A curadoria de modelos (ex.: Q4/Q8, 7B-35B parâmetros) e datasets relevantes para SE (geração de código, sumarização - Afrin et al., 2025) é primordial para atividades práticas que permitam explorar os trade-offs CL-CompL de forma significativa, mesmo em equipamentos com recursos limitados. Modelos e datasets devem ser testados e validados para garantir que sejam acessíveis, relevantes para tarefas de engenharia de software (como geração de código, classificação de mensagens de commit ou sumarização de código) e capazes de ilustrar claramente os impactos de diferentes configurações de quantização ou arquiteturas de agentes.</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rtl w:val="0"/>
        </w:rPr>
      </w:pPr>
      <w:r>
        <w:rPr>
          <w:rFonts w:hint="default"/>
          <w:sz w:val="24"/>
          <w:szCs w:val="24"/>
          <w:rtl w:val="0"/>
        </w:rPr>
        <w:t xml:space="preserve">As implicações para políticas educacionais, como o Plano Nacional de Educação (PNE) (BRASIL, 2014; INEP, 2023; FNE, 2023; MEC, 2024) e as Diretrizes Curriculares Nacionais (DCNs) (BRASIL, 2016; BRASIL, 2019), são igualmente profundas. Além de reconhecer a dinâmica CL-CompL como uma competência transversal essencial, as políticas devem promover uma formação metacognitiva crítica, que vá além do uso instrumental de ferramentas de AI. Isso inclui ensinar estudantes a avaliar os custos cognitivos e computacionais de diferentes abordagens, a refletir sobre a interação com sistemas de IA e a tomar decisões éticas (Floridi </w:t>
      </w:r>
      <w:r>
        <w:rPr>
          <w:rFonts w:hint="default"/>
          <w:sz w:val="24"/>
          <w:szCs w:val="24"/>
          <w:rtl w:val="0"/>
          <w:lang w:val="pt-BR"/>
        </w:rPr>
        <w:t>e</w:t>
      </w:r>
      <w:r>
        <w:rPr>
          <w:rFonts w:hint="default"/>
          <w:sz w:val="24"/>
          <w:szCs w:val="24"/>
          <w:rtl w:val="0"/>
        </w:rPr>
        <w:t xml:space="preserve"> Taddeo, 2016; Jobin et al., 2019) e estratégicas. </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rtl w:val="0"/>
        </w:rPr>
      </w:pPr>
      <w:r>
        <w:rPr>
          <w:rFonts w:hint="default"/>
          <w:sz w:val="24"/>
          <w:szCs w:val="24"/>
          <w:rtl w:val="0"/>
        </w:rPr>
        <w:t>A infraestrutura computacional nas instituições também deve ser tratada como uma questão pedagógica central, não apenas técnica: investimentos em laboratórios equipados com GPUs adequadas e acesso a recursos computacionais são necessários para garantir equidade no aprendizado prático de AI, evitando que apenas estudantes com equipamentos pessoais avançados possam desenvolver certas habilidades. Além disso, políticas de formação docente, como as previstas na Meta 16 do PNE 2014-2024 (BRASIL, 2014), devem incluir programas específicos para capacitar professores em tecnologias emergentes de AI e na gestão pedagógica da dinâmica CL-CompL, com financiamento adequado e alcance nacional. A flexibilidade curricular das DCNs pode ser aproveitada para integrar esses temas, mas requer orientações claras do Ministério da Educação (MEC) e da Sociedade Brasileira de Computação (SBC), como referências curriculares detalhadas ou guias de boas práticas, para evitar abordagens desconexas ou superficiais.</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rtl w:val="0"/>
        </w:rPr>
      </w:pPr>
      <w:r>
        <w:rPr>
          <w:rFonts w:hint="default"/>
          <w:sz w:val="24"/>
          <w:szCs w:val="24"/>
          <w:rtl w:val="0"/>
        </w:rPr>
        <w:t xml:space="preserve">Conectando-se ao futuro da engenharia de software, a discussão reforça que a capacidade de trabalhar com AI de forma eficaz — compreendendo seus mecanismos, avaliando suas limitações e gerenciando trade-offs entre custos cognitivos e computacionais — será uma habilidade definidora para profissionais nas próximas décadas (Hassan et al., 2024). A SE está se tornando uma disciplina de colaboração simbiótica entre humanos e sistemas de IA (Hoc, 2000; Heer, 2019), onde a capacidade de navegar a complexidade da interação CL-CompL determinará a eficácia, a inovação e a sustentabilidade das soluções desenvolvidas. Uma pedagogia que ignore essa dinâmica corre o risco de formar profissionais meramente reativos a ferramentas de AI, incapazes de lidar com a instabilidade, a complexidade ou os custos associados. Em contraste, a abordagem proposta neste trabalho — que ensina estudantes a buscar o "ponto ideal" entre CL e CompL, a adaptar estratégias conforme a expertise (Kalyuga et al., 2003) e as restrições do ambiente, </w:t>
      </w:r>
      <w:r>
        <w:rPr>
          <w:rFonts w:hint="default"/>
          <w:sz w:val="24"/>
          <w:szCs w:val="24"/>
          <w:rtl w:val="0"/>
          <w:lang w:val="pt-BR"/>
        </w:rPr>
        <w:t xml:space="preserve">assim como </w:t>
      </w:r>
      <w:r>
        <w:rPr>
          <w:rFonts w:hint="default"/>
          <w:sz w:val="24"/>
          <w:szCs w:val="24"/>
          <w:rtl w:val="0"/>
        </w:rPr>
        <w:t>a refletir criticamente sobre suas escolhas — tem o potencial de formar engenheiros mais resilientes, adaptáveis e capazes de liderar a inovação em sistemas de software cada vez mais inteligentes e impactantes.</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rtl w:val="0"/>
        </w:rPr>
      </w:pPr>
      <w:r>
        <w:rPr>
          <w:rFonts w:hint="default"/>
          <w:sz w:val="24"/>
          <w:szCs w:val="24"/>
          <w:rtl w:val="0"/>
        </w:rPr>
        <w:t>Em síntese, a discussão dos resultados pedagógicos apresentados reforça a necessidade urgente de uma mudança de paradigma no ensino de AI dentro dos cursos de SE. A dinâmica CL-CompL não é um detalhe secundário, mas um fenômeno central que deve sustentar o design curricular, as práticas de ensino, o desenvolvimento de ferramentas educacionais e as políticas educacionais. Superar os desafios de implementação — desde a atualização curricular e a formação docente até o investimento em infraestrutura e o desenvolvimento de recursos educacionais — é essencial para preparar estudantes para a realidade inescapável da engenharia de software na era da inteligência artificial. A integração consciente e sistemática dessa perspectiva pedagógica não apenas melhora a qualidade do ensino, mas também alinha a formação profissional às demandas do mercado e às exigências éticas e sociais de uma tecnologia que redefine continuamente a prática da engenharia.</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jc w:val="both"/>
        <w:textAlignment w:val="auto"/>
        <w:rPr>
          <w:sz w:val="24"/>
          <w:szCs w:val="24"/>
        </w:rPr>
      </w:pPr>
      <w:r>
        <w:rPr>
          <w:b/>
          <w:sz w:val="24"/>
          <w:szCs w:val="24"/>
          <w:rtl w:val="0"/>
        </w:rPr>
        <w:t>7. CONCLUSÃO</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sz w:val="24"/>
          <w:szCs w:val="24"/>
          <w:rtl w:val="0"/>
          <w:lang w:val="pt-BR"/>
        </w:rPr>
      </w:pPr>
      <w:r>
        <w:rPr>
          <w:rFonts w:hint="default"/>
          <w:sz w:val="24"/>
          <w:szCs w:val="24"/>
          <w:rtl w:val="0"/>
          <w:lang w:val="pt-BR"/>
        </w:rPr>
        <w:t xml:space="preserve">Este trabalho abordou o desafio crescente de integrar de forma eficaz e sustentável avanços disruptivos da Inteligência Artificial (AI), como a orquestração e ajuste fino de Sistemas Multi-Agente Locais (LMAS) (Luo et al., 2025) e técnicas de quantização (QLoRA, Dettmers et al., 2023; Nagel et al., 2021), nos currículos já densos de Engenharia de Software (SE), especialmente em contextos com recursos limitados. Diante das limitações das abordagens pedagógicas tradicionais e da ausência de diretrizes específicas nas políticas educacionais brasileiras (PNE - BRASIL, 2014; e DCNs - BRASIL, 2016, 2019), propõe-se um quadro teórico-prático centrado na gestão ativa da interdependência entre a Carga Cognitiva (CL) do estudante (Sweller et al., 1998) e a Carga Computacional (CompL) do ambiente de aprendizagem. </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sz w:val="24"/>
          <w:szCs w:val="24"/>
          <w:rtl w:val="0"/>
          <w:lang w:val="pt-BR"/>
        </w:rPr>
      </w:pPr>
      <w:r>
        <w:rPr>
          <w:rFonts w:hint="default"/>
          <w:sz w:val="24"/>
          <w:szCs w:val="24"/>
          <w:rtl w:val="0"/>
          <w:lang w:val="pt-BR"/>
        </w:rPr>
        <w:t xml:space="preserve">A investigação empírica revelou que otimizar isoladamente a eficiência computacional — como por meio da quantização agressiva Q4 — eleva significativamente a CL devido à instabilidade e imprevisibilidade dos modelos, corroborando a hipótese H1. Além disso, a complexidade de orquestrar LMASs amplifica ambas as cargas (H2), enquanto a relação entre elas se mostrou não linear, indicando a existência de um "ponto ideal" de equilíbrio (H3), onde configurações mais estáveis, como a quantização Q8, reduzem a frustração cognitiva mesmo exigindo mais recursos. A expertise prévia do aluno emerge como moderadora (H4), com iniciantes sendo mais vulneráveis à sobrecarga (Kalyuga et al., 2003). A contribuição central reside na adaptação desses achados ao domínio pedagógico, defendendo que a dinâmica CL-CompL seja reconhecida como núcleo estruturante do ensino de AI em SE, promovendo competências metacognitivas (Flavell, 1979) para avaliar trade-offs e justificar escolhas estratégicas. </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sz w:val="24"/>
          <w:szCs w:val="24"/>
          <w:rtl w:val="0"/>
          <w:lang w:val="pt-BR"/>
        </w:rPr>
      </w:pPr>
      <w:r>
        <w:rPr>
          <w:rFonts w:hint="default"/>
          <w:sz w:val="24"/>
          <w:szCs w:val="24"/>
          <w:rtl w:val="0"/>
          <w:lang w:val="pt-BR"/>
        </w:rPr>
        <w:t xml:space="preserve">O quadro proposto articula cinco princípios: reconhecimento explícito da interdependência CL-CompL, desenvolvimento de habilidades para identificar o equilíbrio ideal, design instrucional baseado na Teoria da Carga Cognitiva (minimizando a carga extrínseca e otimizando a carga germânica), adaptação flexível à expertise e restrições de hardware, e integração com práticas autênticas de SE via metodologias ativas. As estratégias incluem sequenciamento curricular progressivo, atividades práticas comparativas (Q4 vs. Q8, fluxos LMASs sequenciais vs. paralelos), ferramentas educacionais para visualizar a dinâmica CL-CompL, e avaliações que valorizem o processo reflexivo além dos resultados. Essa abordagem visa formar profissionais capazes de navegar criticamente os custos cognitivos e computacionais da AI, alinhando-se aos anseios de modernização das políticas educacionais e transcendendo competências digitais genéricas. </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sz w:val="24"/>
          <w:szCs w:val="24"/>
          <w:rtl w:val="0"/>
          <w:lang w:val="pt-BR"/>
        </w:rPr>
      </w:pPr>
      <w:r>
        <w:rPr>
          <w:rFonts w:hint="default"/>
          <w:sz w:val="24"/>
          <w:szCs w:val="24"/>
          <w:rtl w:val="0"/>
          <w:lang w:val="pt-BR"/>
        </w:rPr>
        <w:t>Trabalhos futuros devem validar empiricamente essas estratégias em ambientes reais e explorar sua aplicação a tópicos como aprendizado por reforço em sistemas autoadaptativos e explicabilidade de modelos (XAI). Em síntese, o estudo argumenta que a sinergia entre mente e máquina — gerenciando ativamente a dança entre CL e CompL — é essencial para capacitar engenheiros de software a liderar inovações éticas (Floridi e Taddeo, 2016) e ambientalmente responsáveis na era da AI, representando um investimento estratégico no desenvolvimento tecnológico e humano do Brasil.</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b/>
          <w:sz w:val="24"/>
          <w:szCs w:val="24"/>
          <w:rtl w:val="0"/>
          <w:lang w:val="pt-BR"/>
        </w:rPr>
      </w:pPr>
      <w:r>
        <w:rPr>
          <w:b/>
          <w:sz w:val="24"/>
          <w:szCs w:val="24"/>
          <w:rtl w:val="0"/>
        </w:rPr>
        <w:t>REFERÊNCIAS</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AFRIN, S. et al. Resource-Efficient &amp; Effective Code Summarization. 2025. arXiv:2502.03617. Disponível em: </w:t>
      </w:r>
      <w:r>
        <w:rPr>
          <w:sz w:val="24"/>
          <w:szCs w:val="24"/>
        </w:rPr>
        <w:fldChar w:fldCharType="begin"/>
      </w:r>
      <w:r>
        <w:rPr>
          <w:sz w:val="24"/>
          <w:szCs w:val="24"/>
        </w:rPr>
        <w:instrText xml:space="preserve"> HYPERLINK "https://arxiv.org/abs/2502.03617" \h </w:instrText>
      </w:r>
      <w:r>
        <w:rPr>
          <w:sz w:val="24"/>
          <w:szCs w:val="24"/>
        </w:rPr>
        <w:fldChar w:fldCharType="separate"/>
      </w:r>
      <w:r>
        <w:rPr>
          <w:color w:val="1155CC"/>
          <w:sz w:val="24"/>
          <w:szCs w:val="24"/>
          <w:u w:val="single"/>
          <w:rtl w:val="0"/>
        </w:rPr>
        <w:t>https://arxiv.org/abs/2502.03617</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AHMADI, A.; SHARIF, S.; BANAD, Y. M. MCP Bridge: A Lightweight, LLM-Agnostic RESTful Proxy for Model Context Protocol Servers. 2024. arXiv:2504.08999. Disponível em: </w:t>
      </w:r>
      <w:r>
        <w:rPr>
          <w:sz w:val="24"/>
          <w:szCs w:val="24"/>
        </w:rPr>
        <w:fldChar w:fldCharType="begin"/>
      </w:r>
      <w:r>
        <w:rPr>
          <w:sz w:val="24"/>
          <w:szCs w:val="24"/>
        </w:rPr>
        <w:instrText xml:space="preserve"> HYPERLINK "https://arxiv.org/abs/2504.08999" \h </w:instrText>
      </w:r>
      <w:r>
        <w:rPr>
          <w:sz w:val="24"/>
          <w:szCs w:val="24"/>
        </w:rPr>
        <w:fldChar w:fldCharType="separate"/>
      </w:r>
      <w:r>
        <w:rPr>
          <w:color w:val="1155CC"/>
          <w:sz w:val="24"/>
          <w:szCs w:val="24"/>
          <w:u w:val="single"/>
          <w:rtl w:val="0"/>
        </w:rPr>
        <w:t>https://arxiv.org/abs/2504.08999</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AMERSHI, S. et al. Guidelines for Human-AI Interaction. In: CHI CONFERENCE ON HUMAN FACTORS IN COMPUTING SYSTEMS (CHI ’19), 2019, Glasgow. </w:t>
      </w:r>
      <w:r>
        <w:rPr>
          <w:b/>
          <w:sz w:val="24"/>
          <w:szCs w:val="24"/>
          <w:rtl w:val="0"/>
        </w:rPr>
        <w:t>Proceedings</w:t>
      </w:r>
      <w:r>
        <w:rPr>
          <w:sz w:val="24"/>
          <w:szCs w:val="24"/>
          <w:rtl w:val="0"/>
        </w:rPr>
        <w:t xml:space="preserve"> [...]. New York: ACM, 2019. p. 1–13. DOI: 10.1145/3290605.3300233. Disponível em: </w:t>
      </w:r>
      <w:r>
        <w:rPr>
          <w:sz w:val="24"/>
          <w:szCs w:val="24"/>
        </w:rPr>
        <w:fldChar w:fldCharType="begin"/>
      </w:r>
      <w:r>
        <w:rPr>
          <w:sz w:val="24"/>
          <w:szCs w:val="24"/>
        </w:rPr>
        <w:instrText xml:space="preserve"> HYPERLINK "https://doi.org/10.1145/3290605.3300233" \h </w:instrText>
      </w:r>
      <w:r>
        <w:rPr>
          <w:sz w:val="24"/>
          <w:szCs w:val="24"/>
        </w:rPr>
        <w:fldChar w:fldCharType="separate"/>
      </w:r>
      <w:r>
        <w:rPr>
          <w:color w:val="1155CC"/>
          <w:sz w:val="24"/>
          <w:szCs w:val="24"/>
          <w:u w:val="single"/>
          <w:rtl w:val="0"/>
        </w:rPr>
        <w:t>https://doi.org/10.1145/3290605.3300233</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ANDERSON, J. R. Acquisition of cognitive skill. </w:t>
      </w:r>
      <w:r>
        <w:rPr>
          <w:b/>
          <w:sz w:val="24"/>
          <w:szCs w:val="24"/>
          <w:rtl w:val="0"/>
        </w:rPr>
        <w:t>Psychological Review</w:t>
      </w:r>
      <w:r>
        <w:rPr>
          <w:sz w:val="24"/>
          <w:szCs w:val="24"/>
          <w:rtl w:val="0"/>
        </w:rPr>
        <w:t xml:space="preserve">, v. 89, n. 4, p. 369–406, 1982. DOI: 10.1037/0033-295X.89.4.369. Disponível em: </w:t>
      </w:r>
      <w:r>
        <w:rPr>
          <w:sz w:val="24"/>
          <w:szCs w:val="24"/>
        </w:rPr>
        <w:fldChar w:fldCharType="begin"/>
      </w:r>
      <w:r>
        <w:rPr>
          <w:sz w:val="24"/>
          <w:szCs w:val="24"/>
        </w:rPr>
        <w:instrText xml:space="preserve"> HYPERLINK "https://doi.org/10.1037/0033-295X.89.4.369" \h </w:instrText>
      </w:r>
      <w:r>
        <w:rPr>
          <w:sz w:val="24"/>
          <w:szCs w:val="24"/>
        </w:rPr>
        <w:fldChar w:fldCharType="separate"/>
      </w:r>
      <w:r>
        <w:rPr>
          <w:color w:val="1155CC"/>
          <w:sz w:val="24"/>
          <w:szCs w:val="24"/>
          <w:u w:val="single"/>
          <w:rtl w:val="0"/>
        </w:rPr>
        <w:t>https://doi.org/10.1037/0033-295X.89.4.369</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ANDREWS, G. R. </w:t>
      </w:r>
      <w:r>
        <w:rPr>
          <w:b/>
          <w:sz w:val="24"/>
          <w:szCs w:val="24"/>
          <w:rtl w:val="0"/>
        </w:rPr>
        <w:t>Foundations of Multithreaded, Parallel, and Distributed Programming</w:t>
      </w:r>
      <w:r>
        <w:rPr>
          <w:sz w:val="24"/>
          <w:szCs w:val="24"/>
          <w:rtl w:val="0"/>
        </w:rPr>
        <w:t>. Reading, MA: Addison-Wesley, 2000.</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AYUPOV, S.; CHIRKOVA, N. Parameter-efficient finetuning of transformers for source code. 2022. arXiv:2212.05901. Disponível em: </w:t>
      </w:r>
      <w:r>
        <w:rPr>
          <w:sz w:val="24"/>
          <w:szCs w:val="24"/>
        </w:rPr>
        <w:fldChar w:fldCharType="begin"/>
      </w:r>
      <w:r>
        <w:rPr>
          <w:sz w:val="24"/>
          <w:szCs w:val="24"/>
        </w:rPr>
        <w:instrText xml:space="preserve"> HYPERLINK "https://arxiv.org/abs/2212.05901" \h </w:instrText>
      </w:r>
      <w:r>
        <w:rPr>
          <w:sz w:val="24"/>
          <w:szCs w:val="24"/>
        </w:rPr>
        <w:fldChar w:fldCharType="separate"/>
      </w:r>
      <w:r>
        <w:rPr>
          <w:color w:val="1155CC"/>
          <w:sz w:val="24"/>
          <w:szCs w:val="24"/>
          <w:u w:val="single"/>
          <w:rtl w:val="0"/>
        </w:rPr>
        <w:t>https://arxiv.org/abs/2212.05901</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BAI, G. et al. Beyond Efficiency: A Systematic Survey of Resource-Efficient Large Language Models. 2024. arXiv:2401.00625. Disponível em: </w:t>
      </w:r>
      <w:r>
        <w:rPr>
          <w:sz w:val="24"/>
          <w:szCs w:val="24"/>
        </w:rPr>
        <w:fldChar w:fldCharType="begin"/>
      </w:r>
      <w:r>
        <w:rPr>
          <w:sz w:val="24"/>
          <w:szCs w:val="24"/>
        </w:rPr>
        <w:instrText xml:space="preserve"> HYPERLINK "https://arxiv.org/abs/2401.00625" \h </w:instrText>
      </w:r>
      <w:r>
        <w:rPr>
          <w:sz w:val="24"/>
          <w:szCs w:val="24"/>
        </w:rPr>
        <w:fldChar w:fldCharType="separate"/>
      </w:r>
      <w:r>
        <w:rPr>
          <w:color w:val="1155CC"/>
          <w:sz w:val="24"/>
          <w:szCs w:val="24"/>
          <w:u w:val="single"/>
          <w:rtl w:val="0"/>
        </w:rPr>
        <w:t>https://arxiv.org/abs/2401.00625</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BEN-ARI, M. </w:t>
      </w:r>
      <w:r>
        <w:rPr>
          <w:b/>
          <w:sz w:val="24"/>
          <w:szCs w:val="24"/>
          <w:rtl w:val="0"/>
        </w:rPr>
        <w:t>Principles of Concurrent and Distributed Programming</w:t>
      </w:r>
      <w:r>
        <w:rPr>
          <w:sz w:val="24"/>
          <w:szCs w:val="24"/>
          <w:rtl w:val="0"/>
        </w:rPr>
        <w:t>. 2. ed. Harlow: Addison-Wesley, 2006.</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BIRD, S. et al. Taking Flight with Copilot: Early Insights and Opportunities of Large Language Models in Programming Education. In: ACM TECHNICAL SYMPOSIUM ON COMPUTER SCIENCE EDUCATION (SIGCSE '22), 2022, Providence. </w:t>
      </w:r>
      <w:r>
        <w:rPr>
          <w:b/>
          <w:sz w:val="24"/>
          <w:szCs w:val="24"/>
          <w:rtl w:val="0"/>
        </w:rPr>
        <w:t>Proceedings</w:t>
      </w:r>
      <w:r>
        <w:rPr>
          <w:sz w:val="24"/>
          <w:szCs w:val="24"/>
          <w:rtl w:val="0"/>
        </w:rPr>
        <w:t xml:space="preserve"> [...]. New York: ACM, 2022. p. 1032–1032. DOI: 10.1145/3478431.3499901.</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BIRKMOSE, R. et al. On-Device LLMs for Home Assistant: Dual Role in Intent Detection and Response Generation. 2025. arXiv:2502.12923. Disponível em: </w:t>
      </w:r>
      <w:r>
        <w:rPr>
          <w:sz w:val="24"/>
          <w:szCs w:val="24"/>
        </w:rPr>
        <w:fldChar w:fldCharType="begin"/>
      </w:r>
      <w:r>
        <w:rPr>
          <w:sz w:val="24"/>
          <w:szCs w:val="24"/>
        </w:rPr>
        <w:instrText xml:space="preserve"> HYPERLINK "https://arxiv.org/abs/2502.12923" \h </w:instrText>
      </w:r>
      <w:r>
        <w:rPr>
          <w:sz w:val="24"/>
          <w:szCs w:val="24"/>
        </w:rPr>
        <w:fldChar w:fldCharType="separate"/>
      </w:r>
      <w:r>
        <w:rPr>
          <w:color w:val="1155CC"/>
          <w:sz w:val="24"/>
          <w:szCs w:val="24"/>
          <w:u w:val="single"/>
          <w:rtl w:val="0"/>
        </w:rPr>
        <w:t>https://arxiv.org/abs/2502.12923</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BOMMASANI, R. et al. On the Opportunities and Risks of Foundation Models. 2021. arXiv:2108.07258. Disponível em: </w:t>
      </w:r>
      <w:r>
        <w:rPr>
          <w:sz w:val="24"/>
          <w:szCs w:val="24"/>
        </w:rPr>
        <w:fldChar w:fldCharType="begin"/>
      </w:r>
      <w:r>
        <w:rPr>
          <w:sz w:val="24"/>
          <w:szCs w:val="24"/>
        </w:rPr>
        <w:instrText xml:space="preserve"> HYPERLINK "https://arxiv.org/abs/2108.07258" \h </w:instrText>
      </w:r>
      <w:r>
        <w:rPr>
          <w:sz w:val="24"/>
          <w:szCs w:val="24"/>
        </w:rPr>
        <w:fldChar w:fldCharType="separate"/>
      </w:r>
      <w:r>
        <w:rPr>
          <w:color w:val="1155CC"/>
          <w:sz w:val="24"/>
          <w:szCs w:val="24"/>
          <w:u w:val="single"/>
          <w:rtl w:val="0"/>
        </w:rPr>
        <w:t>https://arxiv.org/abs/2108.07258</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BRASIL. Lei nº 13.005, de 25 de junho de 2014. Aprova o Plano Nacional de Educação - PNE e dá outras providências. </w:t>
      </w:r>
      <w:r>
        <w:rPr>
          <w:b/>
          <w:sz w:val="24"/>
          <w:szCs w:val="24"/>
          <w:rtl w:val="0"/>
        </w:rPr>
        <w:t>Diário Oficial da União</w:t>
      </w:r>
      <w:r>
        <w:rPr>
          <w:sz w:val="24"/>
          <w:szCs w:val="24"/>
          <w:rtl w:val="0"/>
        </w:rPr>
        <w:t xml:space="preserve">: seção 1, Brasília, DF, ed. extra, p. 1, 26 jun. 2014. Disponível em: </w:t>
      </w:r>
      <w:r>
        <w:rPr>
          <w:sz w:val="24"/>
          <w:szCs w:val="24"/>
        </w:rPr>
        <w:fldChar w:fldCharType="begin"/>
      </w:r>
      <w:r>
        <w:rPr>
          <w:sz w:val="24"/>
          <w:szCs w:val="24"/>
        </w:rPr>
        <w:instrText xml:space="preserve"> HYPERLINK "http://www.planalto.gov.br/ccivil_03/_ato2011-2014/2014/lei/l13005.htm" \h </w:instrText>
      </w:r>
      <w:r>
        <w:rPr>
          <w:sz w:val="24"/>
          <w:szCs w:val="24"/>
        </w:rPr>
        <w:fldChar w:fldCharType="separate"/>
      </w:r>
      <w:r>
        <w:rPr>
          <w:color w:val="1155CC"/>
          <w:sz w:val="24"/>
          <w:szCs w:val="24"/>
          <w:u w:val="single"/>
          <w:rtl w:val="0"/>
        </w:rPr>
        <w:t>http://www.planalto.gov.br/ccivil_03/_ato2011-2014/2014/lei/l13005.htm</w:t>
      </w:r>
      <w:r>
        <w:rPr>
          <w:color w:val="1155CC"/>
          <w:sz w:val="24"/>
          <w:szCs w:val="24"/>
          <w:u w:val="single"/>
          <w:rtl w:val="0"/>
        </w:rPr>
        <w:fldChar w:fldCharType="end"/>
      </w:r>
      <w:r>
        <w:rPr>
          <w:sz w:val="24"/>
          <w:szCs w:val="24"/>
          <w:rtl w:val="0"/>
        </w:rPr>
        <w:t>. Acesso em: 25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BRASIL. Conselho Nacional de Educação; Câmara de Educação Superior. Resolução CNE/CES nº 5, de 16 de novembro de 2016. Institui as Diretrizes Curriculares Nacionais para os cursos de graduação na área da Computação, abrangendo os cursos de bacharelado em Ciência da Computação, em Sistemas de Informação, em Engenharia de Computação, em Engenharia de Software e de licenciatura em Computação, e dá outras providências. </w:t>
      </w:r>
      <w:r>
        <w:rPr>
          <w:b/>
          <w:sz w:val="24"/>
          <w:szCs w:val="24"/>
          <w:rtl w:val="0"/>
        </w:rPr>
        <w:t>Diário Oficial da União</w:t>
      </w:r>
      <w:r>
        <w:rPr>
          <w:sz w:val="24"/>
          <w:szCs w:val="24"/>
          <w:rtl w:val="0"/>
        </w:rPr>
        <w:t xml:space="preserve">: seção 1, Brasília, DF, p. 25, 18 nov. 2016. Disponível em: </w:t>
      </w:r>
      <w:r>
        <w:rPr>
          <w:sz w:val="24"/>
          <w:szCs w:val="24"/>
        </w:rPr>
        <w:fldChar w:fldCharType="begin"/>
      </w:r>
      <w:r>
        <w:rPr>
          <w:sz w:val="24"/>
          <w:szCs w:val="24"/>
        </w:rPr>
        <w:instrText xml:space="preserve"> HYPERLINK "http://portal.mec.gov.br/index.php?option=com_docman&amp;view=download&amp;alias=51261-rces005-16-pdf&amp;category_slug=novembro-2016-pdf&amp;Itemid=30192" \h </w:instrText>
      </w:r>
      <w:r>
        <w:rPr>
          <w:sz w:val="24"/>
          <w:szCs w:val="24"/>
        </w:rPr>
        <w:fldChar w:fldCharType="separate"/>
      </w:r>
      <w:r>
        <w:rPr>
          <w:color w:val="1155CC"/>
          <w:sz w:val="24"/>
          <w:szCs w:val="24"/>
          <w:u w:val="single"/>
          <w:rtl w:val="0"/>
        </w:rPr>
        <w:t>http://portal.mec.gov.br/index.php?option=com_docman&amp;view=download&amp;alias=51261-rces005-16-pdf&amp;category_slug=novembro-2016-pdf&amp;Itemid=30192</w:t>
      </w:r>
      <w:r>
        <w:rPr>
          <w:color w:val="1155CC"/>
          <w:sz w:val="24"/>
          <w:szCs w:val="24"/>
          <w:u w:val="single"/>
          <w:rtl w:val="0"/>
        </w:rPr>
        <w:fldChar w:fldCharType="end"/>
      </w:r>
      <w:r>
        <w:rPr>
          <w:sz w:val="24"/>
          <w:szCs w:val="24"/>
          <w:rtl w:val="0"/>
        </w:rPr>
        <w:t>. Acesso em: 25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BRASIL. Conselho Nacional de Educação; Câmara de Educação Superior. Resolução CNE/CES nº 2, de 24 de abril de 2019. Institui as Diretrizes Curriculares Nacionais do Curso de Graduação em Engenharia, e dá outras providências. </w:t>
      </w:r>
      <w:r>
        <w:rPr>
          <w:b/>
          <w:sz w:val="24"/>
          <w:szCs w:val="24"/>
          <w:rtl w:val="0"/>
        </w:rPr>
        <w:t>Diário Oficial da União</w:t>
      </w:r>
      <w:r>
        <w:rPr>
          <w:sz w:val="24"/>
          <w:szCs w:val="24"/>
          <w:rtl w:val="0"/>
        </w:rPr>
        <w:t xml:space="preserve">: seção 1, Brasília, DF, p. 42, 26 abr. 2019. Disponível em: </w:t>
      </w:r>
      <w:r>
        <w:rPr>
          <w:sz w:val="24"/>
          <w:szCs w:val="24"/>
        </w:rPr>
        <w:fldChar w:fldCharType="begin"/>
      </w:r>
      <w:r>
        <w:rPr>
          <w:sz w:val="24"/>
          <w:szCs w:val="24"/>
        </w:rPr>
        <w:instrText xml:space="preserve"> HYPERLINK "http://portal.mec.gov.br/index.php?option=com_docman&amp;view=download&amp;alias=112091-rces002-19&amp;category_slug=abril-2019-pdf&amp;Itemid=30192" \h </w:instrText>
      </w:r>
      <w:r>
        <w:rPr>
          <w:sz w:val="24"/>
          <w:szCs w:val="24"/>
        </w:rPr>
        <w:fldChar w:fldCharType="separate"/>
      </w:r>
      <w:r>
        <w:rPr>
          <w:color w:val="1155CC"/>
          <w:sz w:val="24"/>
          <w:szCs w:val="24"/>
          <w:u w:val="single"/>
          <w:rtl w:val="0"/>
        </w:rPr>
        <w:t>http://portal.mec.gov.br/index.php?option=com_docman&amp;view=download&amp;alias=112091-rces002-19&amp;category_slug=abril-2019-pdf&amp;Itemid=30192</w:t>
      </w:r>
      <w:r>
        <w:rPr>
          <w:color w:val="1155CC"/>
          <w:sz w:val="24"/>
          <w:szCs w:val="24"/>
          <w:u w:val="single"/>
          <w:rtl w:val="0"/>
        </w:rPr>
        <w:fldChar w:fldCharType="end"/>
      </w:r>
      <w:r>
        <w:rPr>
          <w:sz w:val="24"/>
          <w:szCs w:val="24"/>
          <w:rtl w:val="0"/>
        </w:rPr>
        <w:t>. Acesso em: 25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CASPERSEN, M. E.; BENNEDSEN, J. Instructional design of programming education: a learning theoretic approach. </w:t>
      </w:r>
      <w:r>
        <w:rPr>
          <w:b/>
          <w:sz w:val="24"/>
          <w:szCs w:val="24"/>
          <w:rtl w:val="0"/>
        </w:rPr>
        <w:t>ACM SIGCSE Bulletin</w:t>
      </w:r>
      <w:r>
        <w:rPr>
          <w:sz w:val="24"/>
          <w:szCs w:val="24"/>
          <w:rtl w:val="0"/>
        </w:rPr>
        <w:t>, v. 39, n. 4, p. 111-124, Dec. 2007. DOI: 10.1145/1345375.1345413.</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CHASE, W. G.; SIMON, H. A. Perception in chess. </w:t>
      </w:r>
      <w:r>
        <w:rPr>
          <w:b/>
          <w:sz w:val="24"/>
          <w:szCs w:val="24"/>
          <w:rtl w:val="0"/>
        </w:rPr>
        <w:t>Cognitive Psychology</w:t>
      </w:r>
      <w:r>
        <w:rPr>
          <w:sz w:val="24"/>
          <w:szCs w:val="24"/>
          <w:rtl w:val="0"/>
        </w:rPr>
        <w:t xml:space="preserve">, v. 4, n. 1, p. 55-81, 1973. DOI: 10.1016/0010-0285(73)90004-2. Disponível em: </w:t>
      </w:r>
      <w:r>
        <w:rPr>
          <w:sz w:val="24"/>
          <w:szCs w:val="24"/>
        </w:rPr>
        <w:fldChar w:fldCharType="begin"/>
      </w:r>
      <w:r>
        <w:rPr>
          <w:sz w:val="24"/>
          <w:szCs w:val="24"/>
        </w:rPr>
        <w:instrText xml:space="preserve"> HYPERLINK "https://doi.org/10.1016/0010-0285(73)90004-2" \h </w:instrText>
      </w:r>
      <w:r>
        <w:rPr>
          <w:sz w:val="24"/>
          <w:szCs w:val="24"/>
        </w:rPr>
        <w:fldChar w:fldCharType="separate"/>
      </w:r>
      <w:r>
        <w:rPr>
          <w:color w:val="1155CC"/>
          <w:sz w:val="24"/>
          <w:szCs w:val="24"/>
          <w:u w:val="single"/>
          <w:rtl w:val="0"/>
        </w:rPr>
        <w:t>https://doi.org/10.1016/0010-0285(73)90004-2</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CHEN, D. et al. Overthinking Leads to Errors: Mitigating Overthinking in Large Language Models through Task Difficulty Calibration. 2025. arXiv:2504.13367. Disponível em: </w:t>
      </w:r>
      <w:r>
        <w:rPr>
          <w:sz w:val="24"/>
          <w:szCs w:val="24"/>
        </w:rPr>
        <w:fldChar w:fldCharType="begin"/>
      </w:r>
      <w:r>
        <w:rPr>
          <w:sz w:val="24"/>
          <w:szCs w:val="24"/>
        </w:rPr>
        <w:instrText xml:space="preserve"> HYPERLINK "https://arxiv.org/abs/2504.13367" \h </w:instrText>
      </w:r>
      <w:r>
        <w:rPr>
          <w:sz w:val="24"/>
          <w:szCs w:val="24"/>
        </w:rPr>
        <w:fldChar w:fldCharType="separate"/>
      </w:r>
      <w:r>
        <w:rPr>
          <w:color w:val="1155CC"/>
          <w:sz w:val="24"/>
          <w:szCs w:val="24"/>
          <w:u w:val="single"/>
          <w:rtl w:val="0"/>
        </w:rPr>
        <w:t>https://arxiv.org/abs/2504.13367</w:t>
      </w:r>
      <w:r>
        <w:rPr>
          <w:color w:val="1155CC"/>
          <w:sz w:val="24"/>
          <w:szCs w:val="24"/>
          <w:u w:val="single"/>
          <w:rtl w:val="0"/>
        </w:rPr>
        <w:fldChar w:fldCharType="end"/>
      </w:r>
      <w:r>
        <w:rPr>
          <w:sz w:val="24"/>
          <w:szCs w:val="24"/>
          <w:rtl w:val="0"/>
        </w:rPr>
        <w:t>. Acesso em: 24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DENNING, P. J.; TEDRE, M. </w:t>
      </w:r>
      <w:r>
        <w:rPr>
          <w:b/>
          <w:sz w:val="24"/>
          <w:szCs w:val="24"/>
          <w:rtl w:val="0"/>
        </w:rPr>
        <w:t>Computational Thinking</w:t>
      </w:r>
      <w:r>
        <w:rPr>
          <w:sz w:val="24"/>
          <w:szCs w:val="24"/>
          <w:rtl w:val="0"/>
        </w:rPr>
        <w:t>. Cambridge, MA: MIT Press, 2019.</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DETTMERS, T. et al. LLM.int8(): 8-bit Matrix Multiplication for Transformers at Scale. </w:t>
      </w:r>
      <w:r>
        <w:rPr>
          <w:b/>
          <w:sz w:val="24"/>
          <w:szCs w:val="24"/>
          <w:rtl w:val="0"/>
        </w:rPr>
        <w:t>Advances in Neural Information Processing Systems</w:t>
      </w:r>
      <w:r>
        <w:rPr>
          <w:sz w:val="24"/>
          <w:szCs w:val="24"/>
          <w:rtl w:val="0"/>
        </w:rPr>
        <w:t xml:space="preserve">, v. 35, p. 33019-33034, 2022. Disponível em: </w:t>
      </w:r>
      <w:r>
        <w:rPr>
          <w:sz w:val="24"/>
          <w:szCs w:val="24"/>
        </w:rPr>
        <w:fldChar w:fldCharType="begin"/>
      </w:r>
      <w:r>
        <w:rPr>
          <w:sz w:val="24"/>
          <w:szCs w:val="24"/>
        </w:rPr>
        <w:instrText xml:space="preserve"> HYPERLINK "https://proceedings.neurips.cc/paper_files/paper/2022/hash/8c839154519df657899798c50a2d645f-Abstract-Conference.html" \h </w:instrText>
      </w:r>
      <w:r>
        <w:rPr>
          <w:sz w:val="24"/>
          <w:szCs w:val="24"/>
        </w:rPr>
        <w:fldChar w:fldCharType="separate"/>
      </w:r>
      <w:r>
        <w:rPr>
          <w:color w:val="1155CC"/>
          <w:sz w:val="24"/>
          <w:szCs w:val="24"/>
          <w:u w:val="single"/>
          <w:rtl w:val="0"/>
        </w:rPr>
        <w:t>https://proceedings.neurips.cc/paper_files/paper/2022/hash/8c839154519df657899798c50a2d645f-Abstract-Conference.html</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DETTMERS, T. et al. Qlora: Efficient finetuning of quantized llms. </w:t>
      </w:r>
      <w:r>
        <w:rPr>
          <w:b/>
          <w:sz w:val="24"/>
          <w:szCs w:val="24"/>
          <w:rtl w:val="0"/>
        </w:rPr>
        <w:t>Advances in Neural Information Processing Systems</w:t>
      </w:r>
      <w:r>
        <w:rPr>
          <w:sz w:val="24"/>
          <w:szCs w:val="24"/>
          <w:rtl w:val="0"/>
        </w:rPr>
        <w:t xml:space="preserve">, v. 36, 2023. Disponível em: </w:t>
      </w:r>
      <w:r>
        <w:rPr>
          <w:sz w:val="24"/>
          <w:szCs w:val="24"/>
        </w:rPr>
        <w:fldChar w:fldCharType="begin"/>
      </w:r>
      <w:r>
        <w:rPr>
          <w:sz w:val="24"/>
          <w:szCs w:val="24"/>
        </w:rPr>
        <w:instrText xml:space="preserve"> HYPERLINK "https://proceedings.neurips.cc/paper_files/paper/2023/hash/6a4d5956f508541689d0e5c5a878e074-Abstract-Conference.html" \h </w:instrText>
      </w:r>
      <w:r>
        <w:rPr>
          <w:sz w:val="24"/>
          <w:szCs w:val="24"/>
        </w:rPr>
        <w:fldChar w:fldCharType="separate"/>
      </w:r>
      <w:r>
        <w:rPr>
          <w:color w:val="1155CC"/>
          <w:sz w:val="24"/>
          <w:szCs w:val="24"/>
          <w:u w:val="single"/>
          <w:rtl w:val="0"/>
        </w:rPr>
        <w:t>https://proceedings.neurips.cc/paper_files/paper/2023/hash/6a4d5956f508541689d0e5c5a878e074-Abstract-Conference.html</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DURAN, R.; ZAVGORODNIAIA, A.; SORVA, J. Cognitive Load Theory in Computing Education Research: A Review. </w:t>
      </w:r>
      <w:r>
        <w:rPr>
          <w:b/>
          <w:sz w:val="24"/>
          <w:szCs w:val="24"/>
          <w:rtl w:val="0"/>
        </w:rPr>
        <w:t>ACM Transactions on Computing Education</w:t>
      </w:r>
      <w:r>
        <w:rPr>
          <w:sz w:val="24"/>
          <w:szCs w:val="24"/>
          <w:rtl w:val="0"/>
        </w:rPr>
        <w:t xml:space="preserve">, v. 22, n. 4, art. 40, p. 1–27, 2022. DOI: 10.1145/3532776. Disponível em: </w:t>
      </w:r>
      <w:r>
        <w:rPr>
          <w:sz w:val="24"/>
          <w:szCs w:val="24"/>
        </w:rPr>
        <w:fldChar w:fldCharType="begin"/>
      </w:r>
      <w:r>
        <w:rPr>
          <w:sz w:val="24"/>
          <w:szCs w:val="24"/>
        </w:rPr>
        <w:instrText xml:space="preserve"> HYPERLINK "https://doi.org/10.1145/3532776" \h </w:instrText>
      </w:r>
      <w:r>
        <w:rPr>
          <w:sz w:val="24"/>
          <w:szCs w:val="24"/>
        </w:rPr>
        <w:fldChar w:fldCharType="separate"/>
      </w:r>
      <w:r>
        <w:rPr>
          <w:color w:val="1155CC"/>
          <w:sz w:val="24"/>
          <w:szCs w:val="24"/>
          <w:u w:val="single"/>
          <w:rtl w:val="0"/>
        </w:rPr>
        <w:t>https://doi.org/10.1145/3532776</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FLAVELL, J. H. Metacognition and cognitive monitoring: A new area of cognitive–developmental inquiry. </w:t>
      </w:r>
      <w:r>
        <w:rPr>
          <w:b/>
          <w:sz w:val="24"/>
          <w:szCs w:val="24"/>
          <w:rtl w:val="0"/>
        </w:rPr>
        <w:t>American Psychologist</w:t>
      </w:r>
      <w:r>
        <w:rPr>
          <w:sz w:val="24"/>
          <w:szCs w:val="24"/>
          <w:rtl w:val="0"/>
        </w:rPr>
        <w:t xml:space="preserve">, v. 34, n. 10, p. 906–911, 1979. DOI: 10.1037/0003-066X.34.10.906. Disponível em: </w:t>
      </w:r>
      <w:r>
        <w:rPr>
          <w:sz w:val="24"/>
          <w:szCs w:val="24"/>
        </w:rPr>
        <w:fldChar w:fldCharType="begin"/>
      </w:r>
      <w:r>
        <w:rPr>
          <w:sz w:val="24"/>
          <w:szCs w:val="24"/>
        </w:rPr>
        <w:instrText xml:space="preserve"> HYPERLINK "https://doi.org/10.1037/0003-066X.34.10.906" \h </w:instrText>
      </w:r>
      <w:r>
        <w:rPr>
          <w:sz w:val="24"/>
          <w:szCs w:val="24"/>
        </w:rPr>
        <w:fldChar w:fldCharType="separate"/>
      </w:r>
      <w:r>
        <w:rPr>
          <w:color w:val="1155CC"/>
          <w:sz w:val="24"/>
          <w:szCs w:val="24"/>
          <w:u w:val="single"/>
          <w:rtl w:val="0"/>
        </w:rPr>
        <w:t>https://doi.org/10.1037/0003-066X.34.10.906</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FLORIDI, L.; TADDEO, M. What is data ethics? </w:t>
      </w:r>
      <w:r>
        <w:rPr>
          <w:b/>
          <w:sz w:val="24"/>
          <w:szCs w:val="24"/>
          <w:rtl w:val="0"/>
        </w:rPr>
        <w:t>Philosophical Transactions of the Royal Society A: Mathematical, Physical and Engineering Sciences</w:t>
      </w:r>
      <w:r>
        <w:rPr>
          <w:sz w:val="24"/>
          <w:szCs w:val="24"/>
          <w:rtl w:val="0"/>
        </w:rPr>
        <w:t xml:space="preserve">, v. 374, n. 2083, p. 20160360, 2016. DOI: 10.1098/rsta.2016.0360. Disponível em: </w:t>
      </w:r>
      <w:r>
        <w:rPr>
          <w:sz w:val="24"/>
          <w:szCs w:val="24"/>
        </w:rPr>
        <w:fldChar w:fldCharType="begin"/>
      </w:r>
      <w:r>
        <w:rPr>
          <w:sz w:val="24"/>
          <w:szCs w:val="24"/>
        </w:rPr>
        <w:instrText xml:space="preserve"> HYPERLINK "https://doi.org/10.1098/rsta.2016.0360" \h </w:instrText>
      </w:r>
      <w:r>
        <w:rPr>
          <w:sz w:val="24"/>
          <w:szCs w:val="24"/>
        </w:rPr>
        <w:fldChar w:fldCharType="separate"/>
      </w:r>
      <w:r>
        <w:rPr>
          <w:color w:val="1155CC"/>
          <w:sz w:val="24"/>
          <w:szCs w:val="24"/>
          <w:u w:val="single"/>
          <w:rtl w:val="0"/>
        </w:rPr>
        <w:t>https://doi.org/10.1098/rsta.2016.0360</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FÓRUM NACIONAL DE EDUCAÇÃO (FNE). </w:t>
      </w:r>
      <w:r>
        <w:rPr>
          <w:b/>
          <w:sz w:val="24"/>
          <w:szCs w:val="24"/>
          <w:rtl w:val="0"/>
        </w:rPr>
        <w:t>Documento Referência para a Conferência Nacional de Educação – CONAE 2024</w:t>
      </w:r>
      <w:r>
        <w:rPr>
          <w:sz w:val="24"/>
          <w:szCs w:val="24"/>
          <w:rtl w:val="0"/>
        </w:rPr>
        <w:t>. Brasília, DF: FNE, 2023. [Nota: Verificar disponibilidade e URL oficial].</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GHOSH, D. P. Agentic ecosystem in engineering design: a framework for interoperable legacy tools and emergent collaboration via MCP/A2A protocols. Kolkata: Engineering Design &amp; Research Center, Larsen &amp; Toubro Construction, 2025. Disponível em:</w:t>
      </w:r>
      <w:r>
        <w:rPr>
          <w:rFonts w:hint="default"/>
          <w:sz w:val="24"/>
          <w:szCs w:val="24"/>
          <w:rtl w:val="0"/>
          <w:lang w:val="pt-BR"/>
        </w:rPr>
        <w:t xml:space="preserve"> </w:t>
      </w:r>
      <w:r>
        <w:rPr>
          <w:rFonts w:hint="default"/>
          <w:sz w:val="24"/>
          <w:szCs w:val="24"/>
        </w:rPr>
        <w:fldChar w:fldCharType="begin"/>
      </w:r>
      <w:r>
        <w:rPr>
          <w:rFonts w:hint="default"/>
          <w:sz w:val="24"/>
          <w:szCs w:val="24"/>
        </w:rPr>
        <w:instrText xml:space="preserve"> HYPERLINK "https://www.researchgate.net/publication/390953589_Beyond_MCPA2A_Core_LLM_Limitations_and_the_Future_of_Agentic_AI_in_the_Construction_Industry" </w:instrText>
      </w:r>
      <w:r>
        <w:rPr>
          <w:rFonts w:hint="default"/>
          <w:sz w:val="24"/>
          <w:szCs w:val="24"/>
        </w:rPr>
        <w:fldChar w:fldCharType="separate"/>
      </w:r>
      <w:r>
        <w:rPr>
          <w:rStyle w:val="10"/>
          <w:rFonts w:hint="default"/>
          <w:sz w:val="24"/>
          <w:szCs w:val="24"/>
          <w:rtl w:val="0"/>
        </w:rPr>
        <w:t>https://www.researchgate.net/publication/390953589_Beyond_MCPA2A_Core_LLM_Limitations_and_the_Future_of_Agentic_AI_in_the_Construction_Industry</w:t>
      </w:r>
      <w:r>
        <w:rPr>
          <w:rFonts w:hint="default"/>
          <w:sz w:val="24"/>
          <w:szCs w:val="24"/>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GKINTONI, E. et al. Challenging Cognitive Load Theory: The Role of Educational Neuroscience and Artificial Intelligence in Redefining Learning Efficacy. </w:t>
      </w:r>
      <w:r>
        <w:rPr>
          <w:b/>
          <w:sz w:val="24"/>
          <w:szCs w:val="24"/>
          <w:rtl w:val="0"/>
        </w:rPr>
        <w:t>Brain Sciences</w:t>
      </w:r>
      <w:r>
        <w:rPr>
          <w:sz w:val="24"/>
          <w:szCs w:val="24"/>
          <w:rtl w:val="0"/>
        </w:rPr>
        <w:t xml:space="preserve">, v. 15, n. 2, p. 203, 2025. DOI: 10.3390/brainsci15020203. Disponível em: </w:t>
      </w:r>
      <w:r>
        <w:rPr>
          <w:sz w:val="24"/>
          <w:szCs w:val="24"/>
        </w:rPr>
        <w:fldChar w:fldCharType="begin"/>
      </w:r>
      <w:r>
        <w:rPr>
          <w:sz w:val="24"/>
          <w:szCs w:val="24"/>
        </w:rPr>
        <w:instrText xml:space="preserve"> HYPERLINK "https://doi.org/10.3390/brainsci15020203" \h </w:instrText>
      </w:r>
      <w:r>
        <w:rPr>
          <w:sz w:val="24"/>
          <w:szCs w:val="24"/>
        </w:rPr>
        <w:fldChar w:fldCharType="separate"/>
      </w:r>
      <w:r>
        <w:rPr>
          <w:color w:val="1155CC"/>
          <w:sz w:val="24"/>
          <w:szCs w:val="24"/>
          <w:u w:val="single"/>
          <w:rtl w:val="0"/>
        </w:rPr>
        <w:t>https://doi.org/10.3390/brainsci15020203</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HASSAN, Ahmed E. et al. Rethinking Software Engineering in the Era of Foundation Models: A Curated Catalogue of Challenges in the Development of Trustworthy FMware. In: INTERNATIONAL CONFERENCE ON SOFTWARE ENGINEERING COMPANION (ICSE '24 Companion), 2024, Lisbon. </w:t>
      </w:r>
      <w:r>
        <w:rPr>
          <w:b/>
          <w:sz w:val="24"/>
          <w:szCs w:val="24"/>
          <w:rtl w:val="0"/>
        </w:rPr>
        <w:t>Proceedings</w:t>
      </w:r>
      <w:r>
        <w:rPr>
          <w:sz w:val="24"/>
          <w:szCs w:val="24"/>
          <w:rtl w:val="0"/>
        </w:rPr>
        <w:t xml:space="preserve"> [...]. New York: ACM, 2024. p. 1010-1019. DOI: 10.1145/3663529.3663849.</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HEER, J. Agency plus automation: Designing artificial intelligence into interactive systems. </w:t>
      </w:r>
      <w:r>
        <w:rPr>
          <w:b/>
          <w:sz w:val="24"/>
          <w:szCs w:val="24"/>
          <w:rtl w:val="0"/>
        </w:rPr>
        <w:t>Proceedings of the National Academy of Sciences</w:t>
      </w:r>
      <w:r>
        <w:rPr>
          <w:sz w:val="24"/>
          <w:szCs w:val="24"/>
          <w:rtl w:val="0"/>
        </w:rPr>
        <w:t xml:space="preserve">, v. 116, n. 6, p. 1844-1850, 2019. DOI: 10.1073/pnas.1807180115. Disponível em: </w:t>
      </w:r>
      <w:r>
        <w:rPr>
          <w:sz w:val="24"/>
          <w:szCs w:val="24"/>
        </w:rPr>
        <w:fldChar w:fldCharType="begin"/>
      </w:r>
      <w:r>
        <w:rPr>
          <w:sz w:val="24"/>
          <w:szCs w:val="24"/>
        </w:rPr>
        <w:instrText xml:space="preserve"> HYPERLINK "https://doi.org/10.1073/pnas.1807180115" \h </w:instrText>
      </w:r>
      <w:r>
        <w:rPr>
          <w:sz w:val="24"/>
          <w:szCs w:val="24"/>
        </w:rPr>
        <w:fldChar w:fldCharType="separate"/>
      </w:r>
      <w:r>
        <w:rPr>
          <w:color w:val="1155CC"/>
          <w:sz w:val="24"/>
          <w:szCs w:val="24"/>
          <w:u w:val="single"/>
          <w:rtl w:val="0"/>
        </w:rPr>
        <w:t>https://doi.org/10.1073/pnas.1807180115</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HMELO-SILVER, C. E. Problem-Based Learning: What and How Do Students Learn? </w:t>
      </w:r>
      <w:r>
        <w:rPr>
          <w:b/>
          <w:sz w:val="24"/>
          <w:szCs w:val="24"/>
          <w:rtl w:val="0"/>
        </w:rPr>
        <w:t>Educational Psychology Review</w:t>
      </w:r>
      <w:r>
        <w:rPr>
          <w:sz w:val="24"/>
          <w:szCs w:val="24"/>
          <w:rtl w:val="0"/>
        </w:rPr>
        <w:t>, v. 16, n. 3, p. 235-266, 2004. DOI: 10.1023/B:EDPR.0000034022.16470.f3.</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HOC, J.-M. From human-machine interaction to human-machine cooperation. </w:t>
      </w:r>
      <w:r>
        <w:rPr>
          <w:b/>
          <w:sz w:val="24"/>
          <w:szCs w:val="24"/>
          <w:rtl w:val="0"/>
        </w:rPr>
        <w:t>Ergonomics</w:t>
      </w:r>
      <w:r>
        <w:rPr>
          <w:sz w:val="24"/>
          <w:szCs w:val="24"/>
          <w:rtl w:val="0"/>
        </w:rPr>
        <w:t xml:space="preserve">, v. 43, n. 7, p. 833-843, 2000. DOI: 10.1080/001401300409060. Disponível em: </w:t>
      </w:r>
      <w:r>
        <w:rPr>
          <w:sz w:val="24"/>
          <w:szCs w:val="24"/>
        </w:rPr>
        <w:fldChar w:fldCharType="begin"/>
      </w:r>
      <w:r>
        <w:rPr>
          <w:sz w:val="24"/>
          <w:szCs w:val="24"/>
        </w:rPr>
        <w:instrText xml:space="preserve"> HYPERLINK "https://doi.org/10.1080/001401300409060" \h </w:instrText>
      </w:r>
      <w:r>
        <w:rPr>
          <w:sz w:val="24"/>
          <w:szCs w:val="24"/>
        </w:rPr>
        <w:fldChar w:fldCharType="separate"/>
      </w:r>
      <w:r>
        <w:rPr>
          <w:color w:val="1155CC"/>
          <w:sz w:val="24"/>
          <w:szCs w:val="24"/>
          <w:u w:val="single"/>
          <w:rtl w:val="0"/>
        </w:rPr>
        <w:t>https://doi.org/10.1080/001401300409060</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HU, E. J. et al. LoRA: Low-Rank Adaptation of Large Language Models. In: INTERNATIONAL CONFERENCE ON LEARNING REPRESENTATIONS (ICLR), 2022. Disponível em: </w:t>
      </w:r>
      <w:r>
        <w:rPr>
          <w:sz w:val="24"/>
          <w:szCs w:val="24"/>
        </w:rPr>
        <w:fldChar w:fldCharType="begin"/>
      </w:r>
      <w:r>
        <w:rPr>
          <w:sz w:val="24"/>
          <w:szCs w:val="24"/>
        </w:rPr>
        <w:instrText xml:space="preserve"> HYPERLINK "https://openreview.net/forum?id=nZeVKeeFYf9" \h </w:instrText>
      </w:r>
      <w:r>
        <w:rPr>
          <w:sz w:val="24"/>
          <w:szCs w:val="24"/>
        </w:rPr>
        <w:fldChar w:fldCharType="separate"/>
      </w:r>
      <w:r>
        <w:rPr>
          <w:color w:val="1155CC"/>
          <w:sz w:val="24"/>
          <w:szCs w:val="24"/>
          <w:u w:val="single"/>
          <w:rtl w:val="0"/>
        </w:rPr>
        <w:t>https://openreview.net/forum?id=nZeVKeeFYf9</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HUSOM, E. J. et al. Sustainable LLM Inference for Edge AI: Evaluating Quantized LLMs for Energy Efficiency, Output Accuracy, and Inference Latency. 2025. arXiv:2504.03360. Disponível em: </w:t>
      </w:r>
      <w:r>
        <w:rPr>
          <w:sz w:val="24"/>
          <w:szCs w:val="24"/>
        </w:rPr>
        <w:fldChar w:fldCharType="begin"/>
      </w:r>
      <w:r>
        <w:rPr>
          <w:sz w:val="24"/>
          <w:szCs w:val="24"/>
        </w:rPr>
        <w:instrText xml:space="preserve"> HYPERLINK "https://arxiv.org/abs/2504.03360" \h </w:instrText>
      </w:r>
      <w:r>
        <w:rPr>
          <w:sz w:val="24"/>
          <w:szCs w:val="24"/>
        </w:rPr>
        <w:fldChar w:fldCharType="separate"/>
      </w:r>
      <w:r>
        <w:rPr>
          <w:color w:val="1155CC"/>
          <w:sz w:val="24"/>
          <w:szCs w:val="24"/>
          <w:u w:val="single"/>
          <w:rtl w:val="0"/>
        </w:rPr>
        <w:t>https://arxiv.org/abs/2504.03360</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INSTITUTO NACIONAL DE ESTUDOS E PESQUISAS EDUCACIONAIS ANÍSIO TEIXEIRA (INEP). </w:t>
      </w:r>
      <w:r>
        <w:rPr>
          <w:b/>
          <w:sz w:val="24"/>
          <w:szCs w:val="24"/>
          <w:rtl w:val="0"/>
        </w:rPr>
        <w:t>Relatório do 2º Ciclo de Monitoramento das Metas do Plano Nacional de Educação 2022</w:t>
      </w:r>
      <w:r>
        <w:rPr>
          <w:sz w:val="24"/>
          <w:szCs w:val="24"/>
          <w:rtl w:val="0"/>
        </w:rPr>
        <w:t xml:space="preserve">. Brasília, DF: INEP, 2023. Disponível em: </w:t>
      </w:r>
      <w:r>
        <w:rPr>
          <w:sz w:val="24"/>
          <w:szCs w:val="24"/>
        </w:rPr>
        <w:fldChar w:fldCharType="begin"/>
      </w:r>
      <w:r>
        <w:rPr>
          <w:sz w:val="24"/>
          <w:szCs w:val="24"/>
        </w:rPr>
        <w:instrText xml:space="preserve"> HYPERLINK "https://www.gov.br/inep/pt-br/areas-de-atuacao/pesquisas-estatisticas-e-indicadores/pne/monitoramento-continuo" \h </w:instrText>
      </w:r>
      <w:r>
        <w:rPr>
          <w:sz w:val="24"/>
          <w:szCs w:val="24"/>
        </w:rPr>
        <w:fldChar w:fldCharType="separate"/>
      </w:r>
      <w:r>
        <w:rPr>
          <w:color w:val="1155CC"/>
          <w:sz w:val="24"/>
          <w:szCs w:val="24"/>
          <w:u w:val="single"/>
          <w:rtl w:val="0"/>
        </w:rPr>
        <w:t>https://www.gov.br/inep/pt-br/areas-de-atuacao/pesquisas-estatisticas-e-indicadores/pne/monitoramento-continuo</w:t>
      </w:r>
      <w:r>
        <w:rPr>
          <w:color w:val="1155CC"/>
          <w:sz w:val="24"/>
          <w:szCs w:val="24"/>
          <w:u w:val="single"/>
          <w:rtl w:val="0"/>
        </w:rPr>
        <w:fldChar w:fldCharType="end"/>
      </w:r>
      <w:r>
        <w:rPr>
          <w:sz w:val="24"/>
          <w:szCs w:val="24"/>
          <w:rtl w:val="0"/>
        </w:rPr>
        <w:t>. Acesso em: 25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JIA, F. et al. Scaling Up On-Device LLMs via Active-Weight Swapping Between DRAM and Flash. 2025. arXiv:2504.08378. Disponível em: </w:t>
      </w:r>
      <w:r>
        <w:rPr>
          <w:sz w:val="24"/>
          <w:szCs w:val="24"/>
        </w:rPr>
        <w:fldChar w:fldCharType="begin"/>
      </w:r>
      <w:r>
        <w:rPr>
          <w:sz w:val="24"/>
          <w:szCs w:val="24"/>
        </w:rPr>
        <w:instrText xml:space="preserve"> HYPERLINK "https://arxiv.org/abs/2504.08378" \h </w:instrText>
      </w:r>
      <w:r>
        <w:rPr>
          <w:sz w:val="24"/>
          <w:szCs w:val="24"/>
        </w:rPr>
        <w:fldChar w:fldCharType="separate"/>
      </w:r>
      <w:r>
        <w:rPr>
          <w:color w:val="1155CC"/>
          <w:sz w:val="24"/>
          <w:szCs w:val="24"/>
          <w:u w:val="single"/>
          <w:rtl w:val="0"/>
        </w:rPr>
        <w:t>https://arxiv.org/abs/2504.08378</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JIANG, A. Q. et al. Mistral 7B. 2023. arXiv:2310.06825. Disponível em: </w:t>
      </w:r>
      <w:r>
        <w:rPr>
          <w:sz w:val="24"/>
          <w:szCs w:val="24"/>
        </w:rPr>
        <w:fldChar w:fldCharType="begin"/>
      </w:r>
      <w:r>
        <w:rPr>
          <w:sz w:val="24"/>
          <w:szCs w:val="24"/>
        </w:rPr>
        <w:instrText xml:space="preserve"> HYPERLINK "https://arxiv.org/abs/2310.06825" \h </w:instrText>
      </w:r>
      <w:r>
        <w:rPr>
          <w:sz w:val="24"/>
          <w:szCs w:val="24"/>
        </w:rPr>
        <w:fldChar w:fldCharType="separate"/>
      </w:r>
      <w:r>
        <w:rPr>
          <w:color w:val="1155CC"/>
          <w:sz w:val="24"/>
          <w:szCs w:val="24"/>
          <w:u w:val="single"/>
          <w:rtl w:val="0"/>
        </w:rPr>
        <w:t>https://arxiv.org/abs/2310.06825</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JOBIN, A.; IENCA, M.; VAYENA, E. The global landscape of AI ethics guidelines. </w:t>
      </w:r>
      <w:r>
        <w:rPr>
          <w:b/>
          <w:sz w:val="24"/>
          <w:szCs w:val="24"/>
          <w:rtl w:val="0"/>
        </w:rPr>
        <w:t>Nature Machine Intelligence</w:t>
      </w:r>
      <w:r>
        <w:rPr>
          <w:sz w:val="24"/>
          <w:szCs w:val="24"/>
          <w:rtl w:val="0"/>
        </w:rPr>
        <w:t xml:space="preserve">, v. 1, n. 9, p. 389-399, 2019. DOI: 10.1038/s42256-019-0088-2. Disponível em: </w:t>
      </w:r>
      <w:r>
        <w:rPr>
          <w:sz w:val="24"/>
          <w:szCs w:val="24"/>
        </w:rPr>
        <w:fldChar w:fldCharType="begin"/>
      </w:r>
      <w:r>
        <w:rPr>
          <w:sz w:val="24"/>
          <w:szCs w:val="24"/>
        </w:rPr>
        <w:instrText xml:space="preserve"> HYPERLINK "https://doi.org/10.1038/s42256-019-0088-2" \h </w:instrText>
      </w:r>
      <w:r>
        <w:rPr>
          <w:sz w:val="24"/>
          <w:szCs w:val="24"/>
        </w:rPr>
        <w:fldChar w:fldCharType="separate"/>
      </w:r>
      <w:r>
        <w:rPr>
          <w:color w:val="1155CC"/>
          <w:sz w:val="24"/>
          <w:szCs w:val="24"/>
          <w:u w:val="single"/>
          <w:rtl w:val="0"/>
        </w:rPr>
        <w:t>https://doi.org/10.1038/s42256-019-0088-2</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KALYUGA, S. et al. The expertise reversal effect. </w:t>
      </w:r>
      <w:r>
        <w:rPr>
          <w:b/>
          <w:sz w:val="24"/>
          <w:szCs w:val="24"/>
          <w:rtl w:val="0"/>
        </w:rPr>
        <w:t>Educational Psychologist</w:t>
      </w:r>
      <w:r>
        <w:rPr>
          <w:sz w:val="24"/>
          <w:szCs w:val="24"/>
          <w:rtl w:val="0"/>
        </w:rPr>
        <w:t xml:space="preserve">, v. 38, n. 1, p. 23-31, 2003. DOI: 10.1207/S15326985EP3801_4. Disponível em: </w:t>
      </w:r>
      <w:r>
        <w:rPr>
          <w:sz w:val="24"/>
          <w:szCs w:val="24"/>
        </w:rPr>
        <w:fldChar w:fldCharType="begin"/>
      </w:r>
      <w:r>
        <w:rPr>
          <w:sz w:val="24"/>
          <w:szCs w:val="24"/>
        </w:rPr>
        <w:instrText xml:space="preserve"> HYPERLINK "https://doi.org/10.1207/S15326985EP3801_4" \h </w:instrText>
      </w:r>
      <w:r>
        <w:rPr>
          <w:sz w:val="24"/>
          <w:szCs w:val="24"/>
        </w:rPr>
        <w:fldChar w:fldCharType="separate"/>
      </w:r>
      <w:r>
        <w:rPr>
          <w:color w:val="1155CC"/>
          <w:sz w:val="24"/>
          <w:szCs w:val="24"/>
          <w:u w:val="single"/>
          <w:rtl w:val="0"/>
        </w:rPr>
        <w:t>https://doi.org/10.1207/S15326985EP3801_4</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KIM, S. et al. SqueezeLLM: Dense-and-Sparse Quantization. 2023. arXiv:2306.07629. Disponível em: </w:t>
      </w:r>
      <w:r>
        <w:rPr>
          <w:sz w:val="24"/>
          <w:szCs w:val="24"/>
        </w:rPr>
        <w:fldChar w:fldCharType="begin"/>
      </w:r>
      <w:r>
        <w:rPr>
          <w:sz w:val="24"/>
          <w:szCs w:val="24"/>
        </w:rPr>
        <w:instrText xml:space="preserve"> HYPERLINK "https://arxiv.org/abs/2306.07629" \h </w:instrText>
      </w:r>
      <w:r>
        <w:rPr>
          <w:sz w:val="24"/>
          <w:szCs w:val="24"/>
        </w:rPr>
        <w:fldChar w:fldCharType="separate"/>
      </w:r>
      <w:r>
        <w:rPr>
          <w:color w:val="1155CC"/>
          <w:sz w:val="24"/>
          <w:szCs w:val="24"/>
          <w:u w:val="single"/>
          <w:rtl w:val="0"/>
        </w:rPr>
        <w:t>https://arxiv.org/abs/2306.07629</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KIM, Y. et al. One ruler to measure them all: Benchmarking multilingual long-context language models. 2025. arXiv:2503.01996. Disponível em: </w:t>
      </w:r>
      <w:r>
        <w:rPr>
          <w:sz w:val="24"/>
          <w:szCs w:val="24"/>
        </w:rPr>
        <w:fldChar w:fldCharType="begin"/>
      </w:r>
      <w:r>
        <w:rPr>
          <w:sz w:val="24"/>
          <w:szCs w:val="24"/>
        </w:rPr>
        <w:instrText xml:space="preserve"> HYPERLINK "https://arxiv.org/abs/2503.01996" \h </w:instrText>
      </w:r>
      <w:r>
        <w:rPr>
          <w:sz w:val="24"/>
          <w:szCs w:val="24"/>
        </w:rPr>
        <w:fldChar w:fldCharType="separate"/>
      </w:r>
      <w:r>
        <w:rPr>
          <w:color w:val="1155CC"/>
          <w:sz w:val="24"/>
          <w:szCs w:val="24"/>
          <w:u w:val="single"/>
          <w:rtl w:val="0"/>
        </w:rPr>
        <w:t>https://arxiv.org/abs/2503.01996</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KOTALWAR, N.; GOTOVOS, A.; SINGLA, A. Hints-In-Browser: Benchmarking Language Models for Programming Feedback Generation. 2025. arXiv:2406.05053. Disponível em: </w:t>
      </w:r>
      <w:r>
        <w:rPr>
          <w:sz w:val="24"/>
          <w:szCs w:val="24"/>
        </w:rPr>
        <w:fldChar w:fldCharType="begin"/>
      </w:r>
      <w:r>
        <w:rPr>
          <w:sz w:val="24"/>
          <w:szCs w:val="24"/>
        </w:rPr>
        <w:instrText xml:space="preserve"> HYPERLINK "https://arxiv.org/abs/2406.05053" \h </w:instrText>
      </w:r>
      <w:r>
        <w:rPr>
          <w:sz w:val="24"/>
          <w:szCs w:val="24"/>
        </w:rPr>
        <w:fldChar w:fldCharType="separate"/>
      </w:r>
      <w:r>
        <w:rPr>
          <w:color w:val="1155CC"/>
          <w:sz w:val="24"/>
          <w:szCs w:val="24"/>
          <w:u w:val="single"/>
          <w:rtl w:val="0"/>
        </w:rPr>
        <w:t>https://arxiv.org/abs/2406.05053</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KUMAR, K. et al. LLM Post-Training: A Deep Dive into Reasoning Large Language Models. 2025. arXiv:2502.21321. Disponível em: </w:t>
      </w:r>
      <w:r>
        <w:rPr>
          <w:sz w:val="24"/>
          <w:szCs w:val="24"/>
        </w:rPr>
        <w:fldChar w:fldCharType="begin"/>
      </w:r>
      <w:r>
        <w:rPr>
          <w:sz w:val="24"/>
          <w:szCs w:val="24"/>
        </w:rPr>
        <w:instrText xml:space="preserve"> HYPERLINK "https://arxiv.org/abs/2502.21321" \h </w:instrText>
      </w:r>
      <w:r>
        <w:rPr>
          <w:sz w:val="24"/>
          <w:szCs w:val="24"/>
        </w:rPr>
        <w:fldChar w:fldCharType="separate"/>
      </w:r>
      <w:r>
        <w:rPr>
          <w:color w:val="1155CC"/>
          <w:sz w:val="24"/>
          <w:szCs w:val="24"/>
          <w:u w:val="single"/>
          <w:rtl w:val="0"/>
        </w:rPr>
        <w:t>https://arxiv.org/abs/2502.21321</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LEINONEN, J. et al. Using Large Language Models to Enhance Programming Education. In: ACM CONFERENCE ON INTERNATIONAL COMPUTING EDUCATION RESEARCH (ICER '23), 2023, Chicago. </w:t>
      </w:r>
      <w:r>
        <w:rPr>
          <w:b/>
          <w:sz w:val="24"/>
          <w:szCs w:val="24"/>
          <w:rtl w:val="0"/>
        </w:rPr>
        <w:t>Proceedings</w:t>
      </w:r>
      <w:r>
        <w:rPr>
          <w:sz w:val="24"/>
          <w:szCs w:val="24"/>
          <w:rtl w:val="0"/>
        </w:rPr>
        <w:t xml:space="preserve"> [...]. New York: ACM, 2023. p. 1–15. DOI: 10.1145/3568813.3600141.</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LI, R. et al. StarCoder: may the source be with you! 2023. arXiv:2305.06161. Disponível em: </w:t>
      </w:r>
      <w:r>
        <w:rPr>
          <w:sz w:val="24"/>
          <w:szCs w:val="24"/>
        </w:rPr>
        <w:fldChar w:fldCharType="begin"/>
      </w:r>
      <w:r>
        <w:rPr>
          <w:sz w:val="24"/>
          <w:szCs w:val="24"/>
        </w:rPr>
        <w:instrText xml:space="preserve"> HYPERLINK "https://arxiv.org/abs/2305.06161" \h </w:instrText>
      </w:r>
      <w:r>
        <w:rPr>
          <w:sz w:val="24"/>
          <w:szCs w:val="24"/>
        </w:rPr>
        <w:fldChar w:fldCharType="separate"/>
      </w:r>
      <w:r>
        <w:rPr>
          <w:color w:val="1155CC"/>
          <w:sz w:val="24"/>
          <w:szCs w:val="24"/>
          <w:u w:val="single"/>
          <w:rtl w:val="0"/>
        </w:rPr>
        <w:t>https://arxiv.org/abs/2305.06161</w:t>
      </w:r>
      <w:r>
        <w:rPr>
          <w:color w:val="1155CC"/>
          <w:sz w:val="24"/>
          <w:szCs w:val="24"/>
          <w:u w:val="single"/>
          <w:rtl w:val="0"/>
        </w:rPr>
        <w:fldChar w:fldCharType="end"/>
      </w:r>
      <w:r>
        <w:rPr>
          <w:sz w:val="24"/>
          <w:szCs w:val="24"/>
          <w:rtl w:val="0"/>
        </w:rPr>
        <w:t>. Acesso em: 25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LIU, J.; SHA, C.; PENG, X. An empirical study of parameter-efficient fine-tuning methods for pre-trained code models. In: IEEE/ACM INTERNATIONAL CONFERENCE ON AUTOMATED SOFTWARE ENGINEERING (ASE), 38., 2023, Kirchberg. </w:t>
      </w:r>
      <w:r>
        <w:rPr>
          <w:b/>
          <w:sz w:val="24"/>
          <w:szCs w:val="24"/>
          <w:rtl w:val="0"/>
        </w:rPr>
        <w:t>Proceedings</w:t>
      </w:r>
      <w:r>
        <w:rPr>
          <w:sz w:val="24"/>
          <w:szCs w:val="24"/>
          <w:rtl w:val="0"/>
        </w:rPr>
        <w:t xml:space="preserve"> [...]. Piscataway: IEEE, 2023. p. 397–408. DOI: 10.1109/ASE56229.2023.00041. Disponível em: </w:t>
      </w:r>
      <w:r>
        <w:rPr>
          <w:sz w:val="24"/>
          <w:szCs w:val="24"/>
        </w:rPr>
        <w:fldChar w:fldCharType="begin"/>
      </w:r>
      <w:r>
        <w:rPr>
          <w:sz w:val="24"/>
          <w:szCs w:val="24"/>
        </w:rPr>
        <w:instrText xml:space="preserve"> HYPERLINK "https://doi.org/10.1109/ASE56229.2023.00041" \h </w:instrText>
      </w:r>
      <w:r>
        <w:rPr>
          <w:sz w:val="24"/>
          <w:szCs w:val="24"/>
        </w:rPr>
        <w:fldChar w:fldCharType="separate"/>
      </w:r>
      <w:r>
        <w:rPr>
          <w:color w:val="1155CC"/>
          <w:sz w:val="24"/>
          <w:szCs w:val="24"/>
          <w:u w:val="single"/>
          <w:rtl w:val="0"/>
        </w:rPr>
        <w:t>https://doi.org/10.1109/ASE56229.2023.00041</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LIU, Y. et al. AgentBench: Evaluating LLMs as Agents. 2025. arXiv:2308.03688. Disponível em: </w:t>
      </w:r>
      <w:r>
        <w:rPr>
          <w:sz w:val="24"/>
          <w:szCs w:val="24"/>
        </w:rPr>
        <w:fldChar w:fldCharType="begin"/>
      </w:r>
      <w:r>
        <w:rPr>
          <w:sz w:val="24"/>
          <w:szCs w:val="24"/>
        </w:rPr>
        <w:instrText xml:space="preserve"> HYPERLINK "https://arxiv.org/abs/2308.03688" \h </w:instrText>
      </w:r>
      <w:r>
        <w:rPr>
          <w:sz w:val="24"/>
          <w:szCs w:val="24"/>
        </w:rPr>
        <w:fldChar w:fldCharType="separate"/>
      </w:r>
      <w:r>
        <w:rPr>
          <w:color w:val="1155CC"/>
          <w:sz w:val="24"/>
          <w:szCs w:val="24"/>
          <w:u w:val="single"/>
          <w:rtl w:val="0"/>
        </w:rPr>
        <w:t>https://arxiv.org/abs/2308.03688</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LUAN, H. et al. Who Needs to Learn Programming Nowadays? The Impact of AI on Programming Education. 2023. arXiv:2305.10881. Disponível em: </w:t>
      </w:r>
      <w:r>
        <w:rPr>
          <w:sz w:val="24"/>
          <w:szCs w:val="24"/>
        </w:rPr>
        <w:fldChar w:fldCharType="begin"/>
      </w:r>
      <w:r>
        <w:rPr>
          <w:sz w:val="24"/>
          <w:szCs w:val="24"/>
        </w:rPr>
        <w:instrText xml:space="preserve"> HYPERLINK "https://arxiv.org/abs/2305.10881" \h </w:instrText>
      </w:r>
      <w:r>
        <w:rPr>
          <w:sz w:val="24"/>
          <w:szCs w:val="24"/>
        </w:rPr>
        <w:fldChar w:fldCharType="separate"/>
      </w:r>
      <w:r>
        <w:rPr>
          <w:color w:val="1155CC"/>
          <w:sz w:val="24"/>
          <w:szCs w:val="24"/>
          <w:u w:val="single"/>
          <w:rtl w:val="0"/>
        </w:rPr>
        <w:t>https://arxiv.org/abs/2305.10881</w:t>
      </w:r>
      <w:r>
        <w:rPr>
          <w:color w:val="1155CC"/>
          <w:sz w:val="24"/>
          <w:szCs w:val="24"/>
          <w:u w:val="single"/>
          <w:rtl w:val="0"/>
        </w:rPr>
        <w:fldChar w:fldCharType="end"/>
      </w:r>
      <w:r>
        <w:rPr>
          <w:sz w:val="24"/>
          <w:szCs w:val="24"/>
          <w:rtl w:val="0"/>
        </w:rPr>
        <w:t>. Acesso em: 25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LUO, J. et al. Large Language Model Agent: A Survey on Methodology, Applications and Challenges. 2025. arXiv:2503.21460. Disponível em: </w:t>
      </w:r>
      <w:r>
        <w:rPr>
          <w:sz w:val="24"/>
          <w:szCs w:val="24"/>
        </w:rPr>
        <w:fldChar w:fldCharType="begin"/>
      </w:r>
      <w:r>
        <w:rPr>
          <w:sz w:val="24"/>
          <w:szCs w:val="24"/>
        </w:rPr>
        <w:instrText xml:space="preserve"> HYPERLINK "https://arxiv.org/abs/2503.21460" \h </w:instrText>
      </w:r>
      <w:r>
        <w:rPr>
          <w:sz w:val="24"/>
          <w:szCs w:val="24"/>
        </w:rPr>
        <w:fldChar w:fldCharType="separate"/>
      </w:r>
      <w:r>
        <w:rPr>
          <w:color w:val="1155CC"/>
          <w:sz w:val="24"/>
          <w:szCs w:val="24"/>
          <w:u w:val="single"/>
          <w:rtl w:val="0"/>
        </w:rPr>
        <w:t>https://arxiv.org/abs/2503.21460</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MARJANOVIĆ, S. V. et al. DeepSeek-R1 Thoughtology: Let’s about LLM reasoning. 2025. arXiv:2504.07128. Disponível em: </w:t>
      </w:r>
      <w:r>
        <w:rPr>
          <w:sz w:val="24"/>
          <w:szCs w:val="24"/>
        </w:rPr>
        <w:fldChar w:fldCharType="begin"/>
      </w:r>
      <w:r>
        <w:rPr>
          <w:sz w:val="24"/>
          <w:szCs w:val="24"/>
        </w:rPr>
        <w:instrText xml:space="preserve"> HYPERLINK "https://arxiv.org/abs/2504.07128" \h </w:instrText>
      </w:r>
      <w:r>
        <w:rPr>
          <w:sz w:val="24"/>
          <w:szCs w:val="24"/>
        </w:rPr>
        <w:fldChar w:fldCharType="separate"/>
      </w:r>
      <w:r>
        <w:rPr>
          <w:color w:val="1155CC"/>
          <w:sz w:val="24"/>
          <w:szCs w:val="24"/>
          <w:u w:val="single"/>
          <w:rtl w:val="0"/>
        </w:rPr>
        <w:t>https://arxiv.org/abs/2504.07128</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MAYER, R. E.; MORENO, R. Nine ways to reduce cognitive load in multimedia learning. </w:t>
      </w:r>
      <w:r>
        <w:rPr>
          <w:b/>
          <w:sz w:val="24"/>
          <w:szCs w:val="24"/>
          <w:rtl w:val="0"/>
        </w:rPr>
        <w:t>Educational Psychologist</w:t>
      </w:r>
      <w:r>
        <w:rPr>
          <w:sz w:val="24"/>
          <w:szCs w:val="24"/>
          <w:rtl w:val="0"/>
        </w:rPr>
        <w:t xml:space="preserve">, v. 38, n. 1, p. 43-52, 2003. DOI: 10.1207/S15326985EP3801_6. Disponível em: </w:t>
      </w:r>
      <w:r>
        <w:rPr>
          <w:sz w:val="24"/>
          <w:szCs w:val="24"/>
        </w:rPr>
        <w:fldChar w:fldCharType="begin"/>
      </w:r>
      <w:r>
        <w:rPr>
          <w:sz w:val="24"/>
          <w:szCs w:val="24"/>
        </w:rPr>
        <w:instrText xml:space="preserve"> HYPERLINK "https://doi.org/10.1207/S15326985EP3801_6" \h </w:instrText>
      </w:r>
      <w:r>
        <w:rPr>
          <w:sz w:val="24"/>
          <w:szCs w:val="24"/>
        </w:rPr>
        <w:fldChar w:fldCharType="separate"/>
      </w:r>
      <w:r>
        <w:rPr>
          <w:color w:val="1155CC"/>
          <w:sz w:val="24"/>
          <w:szCs w:val="24"/>
          <w:u w:val="single"/>
          <w:rtl w:val="0"/>
        </w:rPr>
        <w:t>https://doi.org/10.1207/S15326985EP3801_6</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MHLANGA, D. The Role of Artificial Intelligence in Enhancing Education Quality in Developing Countries. </w:t>
      </w:r>
      <w:r>
        <w:rPr>
          <w:b/>
          <w:sz w:val="24"/>
          <w:szCs w:val="24"/>
          <w:rtl w:val="0"/>
        </w:rPr>
        <w:t>Sustainability</w:t>
      </w:r>
      <w:r>
        <w:rPr>
          <w:sz w:val="24"/>
          <w:szCs w:val="24"/>
          <w:rtl w:val="0"/>
        </w:rPr>
        <w:t>, v. 15, n. 15, p. 11608, 2023. DOI: 10.3390/su151511608.</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MINISTÉRIO DA EDUCAÇÃO (MEC). </w:t>
      </w:r>
      <w:r>
        <w:rPr>
          <w:b/>
          <w:sz w:val="24"/>
          <w:szCs w:val="24"/>
          <w:rtl w:val="0"/>
        </w:rPr>
        <w:t>Conferência Nacional de Educação (CONAE) 2024</w:t>
      </w:r>
      <w:r>
        <w:rPr>
          <w:sz w:val="24"/>
          <w:szCs w:val="24"/>
          <w:rtl w:val="0"/>
        </w:rPr>
        <w:t>. Brasília, DF: MEC, 2024. [Nota: Necessário URL ou documento específico].</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NAGEL, M. et al. A White Paper on Neural Network Quantization. 2021. arXiv:2106.08295. Disponível em: </w:t>
      </w:r>
      <w:r>
        <w:rPr>
          <w:sz w:val="24"/>
          <w:szCs w:val="24"/>
        </w:rPr>
        <w:fldChar w:fldCharType="begin"/>
      </w:r>
      <w:r>
        <w:rPr>
          <w:sz w:val="24"/>
          <w:szCs w:val="24"/>
        </w:rPr>
        <w:instrText xml:space="preserve"> HYPERLINK "https://arxiv.org/abs/2106.08295" \h </w:instrText>
      </w:r>
      <w:r>
        <w:rPr>
          <w:sz w:val="24"/>
          <w:szCs w:val="24"/>
        </w:rPr>
        <w:fldChar w:fldCharType="separate"/>
      </w:r>
      <w:r>
        <w:rPr>
          <w:color w:val="1155CC"/>
          <w:sz w:val="24"/>
          <w:szCs w:val="24"/>
          <w:u w:val="single"/>
          <w:rtl w:val="0"/>
        </w:rPr>
        <w:t>https://arxiv.org/abs/2106.08295</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NI, J. et al. From Large to Super-Tiny: End-to-End Optimization for Cost-Efficient LLMs. 2025. arXiv:2504.13471. Disponível em: </w:t>
      </w:r>
      <w:r>
        <w:rPr>
          <w:sz w:val="24"/>
          <w:szCs w:val="24"/>
        </w:rPr>
        <w:fldChar w:fldCharType="begin"/>
      </w:r>
      <w:r>
        <w:rPr>
          <w:sz w:val="24"/>
          <w:szCs w:val="24"/>
        </w:rPr>
        <w:instrText xml:space="preserve"> HYPERLINK "https://arxiv.org/abs/2504.13471" \h </w:instrText>
      </w:r>
      <w:r>
        <w:rPr>
          <w:sz w:val="24"/>
          <w:szCs w:val="24"/>
        </w:rPr>
        <w:fldChar w:fldCharType="separate"/>
      </w:r>
      <w:r>
        <w:rPr>
          <w:color w:val="1155CC"/>
          <w:sz w:val="24"/>
          <w:szCs w:val="24"/>
          <w:u w:val="single"/>
          <w:rtl w:val="0"/>
        </w:rPr>
        <w:t>https://arxiv.org/abs/2504.13471</w:t>
      </w:r>
      <w:r>
        <w:rPr>
          <w:color w:val="1155CC"/>
          <w:sz w:val="24"/>
          <w:szCs w:val="24"/>
          <w:u w:val="single"/>
          <w:rtl w:val="0"/>
        </w:rPr>
        <w:fldChar w:fldCharType="end"/>
      </w:r>
      <w:r>
        <w:rPr>
          <w:sz w:val="24"/>
          <w:szCs w:val="24"/>
          <w:rtl w:val="0"/>
        </w:rPr>
        <w:t>. Acesso em: 24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NIELSEN, J. </w:t>
      </w:r>
      <w:r>
        <w:rPr>
          <w:b/>
          <w:sz w:val="24"/>
          <w:szCs w:val="24"/>
          <w:rtl w:val="0"/>
        </w:rPr>
        <w:t>Usability Engineering</w:t>
      </w:r>
      <w:r>
        <w:rPr>
          <w:sz w:val="24"/>
          <w:szCs w:val="24"/>
          <w:rtl w:val="0"/>
        </w:rPr>
        <w:t>. Boston: Academic Press, 1993.</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NORMAN, D. A. </w:t>
      </w:r>
      <w:r>
        <w:rPr>
          <w:b/>
          <w:sz w:val="24"/>
          <w:szCs w:val="24"/>
          <w:rtl w:val="0"/>
        </w:rPr>
        <w:t>The psychology of everyday things</w:t>
      </w:r>
      <w:r>
        <w:rPr>
          <w:sz w:val="24"/>
          <w:szCs w:val="24"/>
          <w:rtl w:val="0"/>
        </w:rPr>
        <w:t>. New York: Basic Books, 1988. (Reeditado como The Design of Everyday Things).</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OPENAI. A practical guide to building agents. OpenAI Business Guides and Resources, 2025. Disponível em: </w:t>
      </w:r>
      <w:r>
        <w:rPr>
          <w:sz w:val="24"/>
          <w:szCs w:val="24"/>
        </w:rPr>
        <w:fldChar w:fldCharType="begin"/>
      </w:r>
      <w:r>
        <w:rPr>
          <w:sz w:val="24"/>
          <w:szCs w:val="24"/>
        </w:rPr>
        <w:instrText xml:space="preserve"> HYPERLINK "https://cdn.openai.com/business-guides-and-resources/a-practical-guide-to-building-agents.pdf" \h </w:instrText>
      </w:r>
      <w:r>
        <w:rPr>
          <w:sz w:val="24"/>
          <w:szCs w:val="24"/>
        </w:rPr>
        <w:fldChar w:fldCharType="separate"/>
      </w:r>
      <w:r>
        <w:rPr>
          <w:color w:val="1155CC"/>
          <w:sz w:val="24"/>
          <w:szCs w:val="24"/>
          <w:u w:val="single"/>
          <w:rtl w:val="0"/>
        </w:rPr>
        <w:t>https://cdn.openai.com/business-guides-and-resources/a-practical-guide-to-building-agents.pdf</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PAAS, F. et al. Cognitive load measurement as a means to advance cognitive load theory. </w:t>
      </w:r>
      <w:r>
        <w:rPr>
          <w:b/>
          <w:sz w:val="24"/>
          <w:szCs w:val="24"/>
          <w:rtl w:val="0"/>
        </w:rPr>
        <w:t>Educational Psychologist</w:t>
      </w:r>
      <w:r>
        <w:rPr>
          <w:sz w:val="24"/>
          <w:szCs w:val="24"/>
          <w:rtl w:val="0"/>
        </w:rPr>
        <w:t xml:space="preserve">, v. 38, n. 1, p. 63-71, 2003. DOI: 10.1207/S15326985EP3801_8. Disponível em: </w:t>
      </w:r>
      <w:r>
        <w:rPr>
          <w:sz w:val="24"/>
          <w:szCs w:val="24"/>
        </w:rPr>
        <w:fldChar w:fldCharType="begin"/>
      </w:r>
      <w:r>
        <w:rPr>
          <w:sz w:val="24"/>
          <w:szCs w:val="24"/>
        </w:rPr>
        <w:instrText xml:space="preserve"> HYPERLINK "https://doi.org/10.1207/S15326985EP3801_8" \h </w:instrText>
      </w:r>
      <w:r>
        <w:rPr>
          <w:sz w:val="24"/>
          <w:szCs w:val="24"/>
        </w:rPr>
        <w:fldChar w:fldCharType="separate"/>
      </w:r>
      <w:r>
        <w:rPr>
          <w:color w:val="1155CC"/>
          <w:sz w:val="24"/>
          <w:szCs w:val="24"/>
          <w:u w:val="single"/>
          <w:rtl w:val="0"/>
        </w:rPr>
        <w:t>https://doi.org/10.1207/S15326985EP3801_8</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PAHUNE, S.; AKHTAR, Z. Transitioning from MLOps to LLMOps: Navigating the Unique Challenges of Large Language Models. </w:t>
      </w:r>
      <w:r>
        <w:rPr>
          <w:b/>
          <w:sz w:val="24"/>
          <w:szCs w:val="24"/>
          <w:rtl w:val="0"/>
        </w:rPr>
        <w:t>Information</w:t>
      </w:r>
      <w:r>
        <w:rPr>
          <w:sz w:val="24"/>
          <w:szCs w:val="24"/>
          <w:rtl w:val="0"/>
        </w:rPr>
        <w:t xml:space="preserve">, v. 16, n. 2, 87, 2025. DOI: 10.3390/info16020087. Disponível em: </w:t>
      </w:r>
      <w:r>
        <w:rPr>
          <w:sz w:val="24"/>
          <w:szCs w:val="24"/>
        </w:rPr>
        <w:fldChar w:fldCharType="begin"/>
      </w:r>
      <w:r>
        <w:rPr>
          <w:sz w:val="24"/>
          <w:szCs w:val="24"/>
        </w:rPr>
        <w:instrText xml:space="preserve"> HYPERLINK "https://www.mdpi.com/2078-2489/16/2/87" \h </w:instrText>
      </w:r>
      <w:r>
        <w:rPr>
          <w:sz w:val="24"/>
          <w:szCs w:val="24"/>
        </w:rPr>
        <w:fldChar w:fldCharType="separate"/>
      </w:r>
      <w:r>
        <w:rPr>
          <w:color w:val="1155CC"/>
          <w:sz w:val="24"/>
          <w:szCs w:val="24"/>
          <w:u w:val="single"/>
          <w:rtl w:val="0"/>
        </w:rPr>
        <w:t>https://www.mdpi.com/2078-2489/16/2/87</w:t>
      </w:r>
      <w:r>
        <w:rPr>
          <w:color w:val="1155CC"/>
          <w:sz w:val="24"/>
          <w:szCs w:val="24"/>
          <w:u w:val="single"/>
          <w:rtl w:val="0"/>
        </w:rPr>
        <w:fldChar w:fldCharType="end"/>
      </w:r>
      <w:r>
        <w:rPr>
          <w:sz w:val="24"/>
          <w:szCs w:val="24"/>
          <w:rtl w:val="0"/>
        </w:rPr>
        <w:t>. Acesso em: 24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PARK, J. S. et al. Generative Agents: Interactive Simulacra of Human Behavior. 2023. arXiv:2304.03442. Disponível em: </w:t>
      </w:r>
      <w:r>
        <w:rPr>
          <w:sz w:val="24"/>
          <w:szCs w:val="24"/>
        </w:rPr>
        <w:fldChar w:fldCharType="begin"/>
      </w:r>
      <w:r>
        <w:rPr>
          <w:sz w:val="24"/>
          <w:szCs w:val="24"/>
        </w:rPr>
        <w:instrText xml:space="preserve"> HYPERLINK "https://arxiv.org/abs/2304.03442" \h </w:instrText>
      </w:r>
      <w:r>
        <w:rPr>
          <w:sz w:val="24"/>
          <w:szCs w:val="24"/>
        </w:rPr>
        <w:fldChar w:fldCharType="separate"/>
      </w:r>
      <w:r>
        <w:rPr>
          <w:color w:val="1155CC"/>
          <w:sz w:val="24"/>
          <w:szCs w:val="24"/>
          <w:u w:val="single"/>
          <w:rtl w:val="0"/>
        </w:rPr>
        <w:t>https://arxiv.org/abs/2304.03442</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PERRY, N. et al. Do Users Write More Insecure Code with AI Assistants? 2022. arXiv:2211.03622. Disponível em: </w:t>
      </w:r>
      <w:r>
        <w:rPr>
          <w:sz w:val="24"/>
          <w:szCs w:val="24"/>
        </w:rPr>
        <w:fldChar w:fldCharType="begin"/>
      </w:r>
      <w:r>
        <w:rPr>
          <w:sz w:val="24"/>
          <w:szCs w:val="24"/>
        </w:rPr>
        <w:instrText xml:space="preserve"> HYPERLINK "https://arxiv.org/abs/2211.03622" \h </w:instrText>
      </w:r>
      <w:r>
        <w:rPr>
          <w:sz w:val="24"/>
          <w:szCs w:val="24"/>
        </w:rPr>
        <w:fldChar w:fldCharType="separate"/>
      </w:r>
      <w:r>
        <w:rPr>
          <w:color w:val="1155CC"/>
          <w:sz w:val="24"/>
          <w:szCs w:val="24"/>
          <w:u w:val="single"/>
          <w:rtl w:val="0"/>
        </w:rPr>
        <w:t>https://arxiv.org/abs/2211.03622</w:t>
      </w:r>
      <w:r>
        <w:rPr>
          <w:color w:val="1155CC"/>
          <w:sz w:val="24"/>
          <w:szCs w:val="24"/>
          <w:u w:val="single"/>
          <w:rtl w:val="0"/>
        </w:rPr>
        <w:fldChar w:fldCharType="end"/>
      </w:r>
      <w:r>
        <w:rPr>
          <w:sz w:val="24"/>
          <w:szCs w:val="24"/>
          <w:rtl w:val="0"/>
        </w:rPr>
        <w:t>. Acesso em: 25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PICCOLO, F. et al. Exploring the Impact of Large Language Models on Novice Programming. In: ACM TECHNICAL SYMPOSIUM ON COMPUTER SCIENCE EDUCATION (SIGCSE '24), 2024, Portland. </w:t>
      </w:r>
      <w:r>
        <w:rPr>
          <w:b/>
          <w:sz w:val="24"/>
          <w:szCs w:val="24"/>
          <w:rtl w:val="0"/>
        </w:rPr>
        <w:t>Proceedings</w:t>
      </w:r>
      <w:r>
        <w:rPr>
          <w:sz w:val="24"/>
          <w:szCs w:val="24"/>
          <w:rtl w:val="0"/>
        </w:rPr>
        <w:t xml:space="preserve"> [...]. New York: ACM, 2024. p. 100–106. DOI: 10.1145/3626252.3630901.</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PU, X. et al. ThoughtTerminator: Benchmarking, Calibrating, and Mitigating Overthinking in Reasoning Models. 2025. arXiv:2504.13367. Disponível em: </w:t>
      </w:r>
      <w:r>
        <w:rPr>
          <w:sz w:val="24"/>
          <w:szCs w:val="24"/>
        </w:rPr>
        <w:fldChar w:fldCharType="begin"/>
      </w:r>
      <w:r>
        <w:rPr>
          <w:sz w:val="24"/>
          <w:szCs w:val="24"/>
        </w:rPr>
        <w:instrText xml:space="preserve"> HYPERLINK "https://arxiv.org/abs/2504.13367" \h </w:instrText>
      </w:r>
      <w:r>
        <w:rPr>
          <w:sz w:val="24"/>
          <w:szCs w:val="24"/>
        </w:rPr>
        <w:fldChar w:fldCharType="separate"/>
      </w:r>
      <w:r>
        <w:rPr>
          <w:color w:val="1155CC"/>
          <w:sz w:val="24"/>
          <w:szCs w:val="24"/>
          <w:u w:val="single"/>
          <w:rtl w:val="0"/>
        </w:rPr>
        <w:t>https://arxiv.org/abs/2504.13367</w:t>
      </w:r>
      <w:r>
        <w:rPr>
          <w:color w:val="1155CC"/>
          <w:sz w:val="24"/>
          <w:szCs w:val="24"/>
          <w:u w:val="single"/>
          <w:rtl w:val="0"/>
        </w:rPr>
        <w:fldChar w:fldCharType="end"/>
      </w:r>
      <w:r>
        <w:rPr>
          <w:sz w:val="24"/>
          <w:szCs w:val="24"/>
          <w:rtl w:val="0"/>
        </w:rPr>
        <w:t>. Acesso em: 24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QIAN, Y.; LEHMAN, J. Students' Misconceptions and Other Difficulties in Introductory Programming: A Literature Review. </w:t>
      </w:r>
      <w:r>
        <w:rPr>
          <w:b/>
          <w:sz w:val="24"/>
          <w:szCs w:val="24"/>
          <w:rtl w:val="0"/>
        </w:rPr>
        <w:t>ACM Transactions on Computing Education (TOCE)</w:t>
      </w:r>
      <w:r>
        <w:rPr>
          <w:sz w:val="24"/>
          <w:szCs w:val="24"/>
          <w:rtl w:val="0"/>
        </w:rPr>
        <w:t>, v. 18, n. 1, p. 1-24, 2017. DOI: 10.1145/3077608.</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RETZLAFF, M. et al. Evaluating Large Language Models for HCI. 2024. arXiv:2402.01811. Disponível em: </w:t>
      </w:r>
      <w:r>
        <w:rPr>
          <w:sz w:val="24"/>
          <w:szCs w:val="24"/>
        </w:rPr>
        <w:fldChar w:fldCharType="begin"/>
      </w:r>
      <w:r>
        <w:rPr>
          <w:sz w:val="24"/>
          <w:szCs w:val="24"/>
        </w:rPr>
        <w:instrText xml:space="preserve"> HYPERLINK "https://arxiv.org/abs/2402.01811" \h </w:instrText>
      </w:r>
      <w:r>
        <w:rPr>
          <w:sz w:val="24"/>
          <w:szCs w:val="24"/>
        </w:rPr>
        <w:fldChar w:fldCharType="separate"/>
      </w:r>
      <w:r>
        <w:rPr>
          <w:color w:val="1155CC"/>
          <w:sz w:val="24"/>
          <w:szCs w:val="24"/>
          <w:u w:val="single"/>
          <w:rtl w:val="0"/>
        </w:rPr>
        <w:t>https://arxiv.org/abs/2402.01811</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ROZIERE, B. et al. Code Llama: Open Foundation Models for Code. 2023. arXiv:2308.12950. Disponível em: </w:t>
      </w:r>
      <w:r>
        <w:rPr>
          <w:sz w:val="24"/>
          <w:szCs w:val="24"/>
        </w:rPr>
        <w:fldChar w:fldCharType="begin"/>
      </w:r>
      <w:r>
        <w:rPr>
          <w:sz w:val="24"/>
          <w:szCs w:val="24"/>
        </w:rPr>
        <w:instrText xml:space="preserve"> HYPERLINK "https://arxiv.org/abs/2308.12950" \h </w:instrText>
      </w:r>
      <w:r>
        <w:rPr>
          <w:sz w:val="24"/>
          <w:szCs w:val="24"/>
        </w:rPr>
        <w:fldChar w:fldCharType="separate"/>
      </w:r>
      <w:r>
        <w:rPr>
          <w:color w:val="1155CC"/>
          <w:sz w:val="24"/>
          <w:szCs w:val="24"/>
          <w:u w:val="single"/>
          <w:rtl w:val="0"/>
        </w:rPr>
        <w:t>https://arxiv.org/abs/2308.12950</w:t>
      </w:r>
      <w:r>
        <w:rPr>
          <w:color w:val="1155CC"/>
          <w:sz w:val="24"/>
          <w:szCs w:val="24"/>
          <w:u w:val="single"/>
          <w:rtl w:val="0"/>
        </w:rPr>
        <w:fldChar w:fldCharType="end"/>
      </w:r>
      <w:r>
        <w:rPr>
          <w:sz w:val="24"/>
          <w:szCs w:val="24"/>
          <w:rtl w:val="0"/>
        </w:rPr>
        <w:t>. Acesso em: 25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SHIFFRIN, R. M.; SCHNEIDER, W. Controlled and automatic human information processing: II. Perceptual learning, automatic attending and a general theory. </w:t>
      </w:r>
      <w:r>
        <w:rPr>
          <w:b/>
          <w:sz w:val="24"/>
          <w:szCs w:val="24"/>
          <w:rtl w:val="0"/>
        </w:rPr>
        <w:t>Psychological Review</w:t>
      </w:r>
      <w:r>
        <w:rPr>
          <w:sz w:val="24"/>
          <w:szCs w:val="24"/>
          <w:rtl w:val="0"/>
        </w:rPr>
        <w:t xml:space="preserve">, v. 84, n. 2, p. 127–190, 1977. DOI: 10.1037/0033-295X.84.2.127. Disponível em: </w:t>
      </w:r>
      <w:r>
        <w:rPr>
          <w:sz w:val="24"/>
          <w:szCs w:val="24"/>
        </w:rPr>
        <w:fldChar w:fldCharType="begin"/>
      </w:r>
      <w:r>
        <w:rPr>
          <w:sz w:val="24"/>
          <w:szCs w:val="24"/>
        </w:rPr>
        <w:instrText xml:space="preserve"> HYPERLINK "https://doi.org/10.1037/0033-295X.84.2.127" \h </w:instrText>
      </w:r>
      <w:r>
        <w:rPr>
          <w:sz w:val="24"/>
          <w:szCs w:val="24"/>
        </w:rPr>
        <w:fldChar w:fldCharType="separate"/>
      </w:r>
      <w:r>
        <w:rPr>
          <w:color w:val="1155CC"/>
          <w:sz w:val="24"/>
          <w:szCs w:val="24"/>
          <w:u w:val="single"/>
          <w:rtl w:val="0"/>
        </w:rPr>
        <w:t>https://doi.org/10.1037/0033-295X.84.2.127</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SHUTE, V. J. Focus on Formative Feedback. </w:t>
      </w:r>
      <w:r>
        <w:rPr>
          <w:b/>
          <w:sz w:val="24"/>
          <w:szCs w:val="24"/>
          <w:rtl w:val="0"/>
        </w:rPr>
        <w:t>Review of Educational Research</w:t>
      </w:r>
      <w:r>
        <w:rPr>
          <w:sz w:val="24"/>
          <w:szCs w:val="24"/>
          <w:rtl w:val="0"/>
        </w:rPr>
        <w:t>, v. 78, n. 1, p. 153-189, 2008. DOI: 10.3102/0034654307313795.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SIDDIQ, M. A. et al. Generative AI in Software Engineering Education: A Systematic Literature Review. 2024. arXiv:2401.10841. Disponível em: </w:t>
      </w:r>
      <w:r>
        <w:rPr>
          <w:sz w:val="24"/>
          <w:szCs w:val="24"/>
        </w:rPr>
        <w:fldChar w:fldCharType="begin"/>
      </w:r>
      <w:r>
        <w:rPr>
          <w:sz w:val="24"/>
          <w:szCs w:val="24"/>
        </w:rPr>
        <w:instrText xml:space="preserve"> HYPERLINK "https://arxiv.org/abs/2401.10841" \h </w:instrText>
      </w:r>
      <w:r>
        <w:rPr>
          <w:sz w:val="24"/>
          <w:szCs w:val="24"/>
        </w:rPr>
        <w:fldChar w:fldCharType="separate"/>
      </w:r>
      <w:r>
        <w:rPr>
          <w:color w:val="1155CC"/>
          <w:sz w:val="24"/>
          <w:szCs w:val="24"/>
          <w:u w:val="single"/>
          <w:rtl w:val="0"/>
        </w:rPr>
        <w:t>https://arxiv.org/abs/2401.10841</w:t>
      </w:r>
      <w:r>
        <w:rPr>
          <w:color w:val="1155CC"/>
          <w:sz w:val="24"/>
          <w:szCs w:val="24"/>
          <w:u w:val="single"/>
          <w:rtl w:val="0"/>
        </w:rPr>
        <w:fldChar w:fldCharType="end"/>
      </w:r>
      <w:r>
        <w:rPr>
          <w:sz w:val="24"/>
          <w:szCs w:val="24"/>
          <w:rtl w:val="0"/>
        </w:rPr>
        <w:t>. Acesso em: 25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SPIESS, C. et al. AutoPDL: Automatic Prompt Optimization for LLM Agents. 2025. arXiv:2504.04365. Disponível em: </w:t>
      </w:r>
      <w:r>
        <w:rPr>
          <w:sz w:val="24"/>
          <w:szCs w:val="24"/>
        </w:rPr>
        <w:fldChar w:fldCharType="begin"/>
      </w:r>
      <w:r>
        <w:rPr>
          <w:sz w:val="24"/>
          <w:szCs w:val="24"/>
        </w:rPr>
        <w:instrText xml:space="preserve"> HYPERLINK "https://arxiv.org/abs/2504.04365" \h </w:instrText>
      </w:r>
      <w:r>
        <w:rPr>
          <w:sz w:val="24"/>
          <w:szCs w:val="24"/>
        </w:rPr>
        <w:fldChar w:fldCharType="separate"/>
      </w:r>
      <w:r>
        <w:rPr>
          <w:color w:val="1155CC"/>
          <w:sz w:val="24"/>
          <w:szCs w:val="24"/>
          <w:u w:val="single"/>
          <w:rtl w:val="0"/>
        </w:rPr>
        <w:t>https://arxiv.org/abs/2504.04365</w:t>
      </w:r>
      <w:r>
        <w:rPr>
          <w:color w:val="1155CC"/>
          <w:sz w:val="24"/>
          <w:szCs w:val="24"/>
          <w:u w:val="single"/>
          <w:rtl w:val="0"/>
        </w:rPr>
        <w:fldChar w:fldCharType="end"/>
      </w:r>
      <w:r>
        <w:rPr>
          <w:sz w:val="24"/>
          <w:szCs w:val="24"/>
          <w:rtl w:val="0"/>
        </w:rPr>
        <w:t>. Acesso em: 24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SWELLER, J. Cognitive load during problem solving: Effects on learning. </w:t>
      </w:r>
      <w:r>
        <w:rPr>
          <w:b/>
          <w:sz w:val="24"/>
          <w:szCs w:val="24"/>
          <w:rtl w:val="0"/>
        </w:rPr>
        <w:t>Cognitive Science</w:t>
      </w:r>
      <w:r>
        <w:rPr>
          <w:sz w:val="24"/>
          <w:szCs w:val="24"/>
          <w:rtl w:val="0"/>
        </w:rPr>
        <w:t xml:space="preserve">, v. 12, n. 2, p. 257-285, 1988. DOI: 10.1207/s15516709cog1202_4. Disponível em: </w:t>
      </w:r>
      <w:r>
        <w:rPr>
          <w:sz w:val="24"/>
          <w:szCs w:val="24"/>
        </w:rPr>
        <w:fldChar w:fldCharType="begin"/>
      </w:r>
      <w:r>
        <w:rPr>
          <w:sz w:val="24"/>
          <w:szCs w:val="24"/>
        </w:rPr>
        <w:instrText xml:space="preserve"> HYPERLINK "https://doi.org/10.1207/s15516709cog1202_4" \h </w:instrText>
      </w:r>
      <w:r>
        <w:rPr>
          <w:sz w:val="24"/>
          <w:szCs w:val="24"/>
        </w:rPr>
        <w:fldChar w:fldCharType="separate"/>
      </w:r>
      <w:r>
        <w:rPr>
          <w:color w:val="1155CC"/>
          <w:sz w:val="24"/>
          <w:szCs w:val="24"/>
          <w:u w:val="single"/>
          <w:rtl w:val="0"/>
        </w:rPr>
        <w:t>https://doi.org/10.1207/s15516709cog1202_4</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SWELLER, J. Cognitive load theory, learning difficulty, and instructional design. </w:t>
      </w:r>
      <w:r>
        <w:rPr>
          <w:b/>
          <w:sz w:val="24"/>
          <w:szCs w:val="24"/>
          <w:rtl w:val="0"/>
        </w:rPr>
        <w:t>Learning and Instruction</w:t>
      </w:r>
      <w:r>
        <w:rPr>
          <w:sz w:val="24"/>
          <w:szCs w:val="24"/>
          <w:rtl w:val="0"/>
        </w:rPr>
        <w:t xml:space="preserve">, v. 4, n. 4, p. 295-312, 1994. DOI: 10.1016/0959-4752(94)90003-5. Disponível em: </w:t>
      </w:r>
      <w:r>
        <w:rPr>
          <w:sz w:val="24"/>
          <w:szCs w:val="24"/>
        </w:rPr>
        <w:fldChar w:fldCharType="begin"/>
      </w:r>
      <w:r>
        <w:rPr>
          <w:sz w:val="24"/>
          <w:szCs w:val="24"/>
        </w:rPr>
        <w:instrText xml:space="preserve"> HYPERLINK "https://doi.org/10.1016/0959-4752(94)90003-5" \h </w:instrText>
      </w:r>
      <w:r>
        <w:rPr>
          <w:sz w:val="24"/>
          <w:szCs w:val="24"/>
        </w:rPr>
        <w:fldChar w:fldCharType="separate"/>
      </w:r>
      <w:r>
        <w:rPr>
          <w:color w:val="1155CC"/>
          <w:sz w:val="24"/>
          <w:szCs w:val="24"/>
          <w:u w:val="single"/>
          <w:rtl w:val="0"/>
        </w:rPr>
        <w:t>https://doi.org/10.1016/0959-4752(94)90003-5</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SWELLER, J. Element interactivity and intrinsic, extraneous, and germane cognitive load. </w:t>
      </w:r>
      <w:r>
        <w:rPr>
          <w:b/>
          <w:sz w:val="24"/>
          <w:szCs w:val="24"/>
          <w:rtl w:val="0"/>
        </w:rPr>
        <w:t>Educational Psychology Review</w:t>
      </w:r>
      <w:r>
        <w:rPr>
          <w:sz w:val="24"/>
          <w:szCs w:val="24"/>
          <w:rtl w:val="0"/>
        </w:rPr>
        <w:t xml:space="preserve">, v. 22, n. 2, p. 123-138, 2010. DOI: 10.1007/s10648-010-9128-5. Disponível em: </w:t>
      </w:r>
      <w:r>
        <w:rPr>
          <w:sz w:val="24"/>
          <w:szCs w:val="24"/>
        </w:rPr>
        <w:fldChar w:fldCharType="begin"/>
      </w:r>
      <w:r>
        <w:rPr>
          <w:sz w:val="24"/>
          <w:szCs w:val="24"/>
        </w:rPr>
        <w:instrText xml:space="preserve"> HYPERLINK "https://doi.org/10.1007/s10648-010-9128-5" \h </w:instrText>
      </w:r>
      <w:r>
        <w:rPr>
          <w:sz w:val="24"/>
          <w:szCs w:val="24"/>
        </w:rPr>
        <w:fldChar w:fldCharType="separate"/>
      </w:r>
      <w:r>
        <w:rPr>
          <w:color w:val="1155CC"/>
          <w:sz w:val="24"/>
          <w:szCs w:val="24"/>
          <w:u w:val="single"/>
          <w:rtl w:val="0"/>
        </w:rPr>
        <w:t>https://doi.org/10.1007/s10648-010-9128-5</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SWELLER, J.; CHANDLER, P. Why some material is difficult to learn. </w:t>
      </w:r>
      <w:r>
        <w:rPr>
          <w:b/>
          <w:sz w:val="24"/>
          <w:szCs w:val="24"/>
          <w:rtl w:val="0"/>
        </w:rPr>
        <w:t>Cognition and Instruction</w:t>
      </w:r>
      <w:r>
        <w:rPr>
          <w:sz w:val="24"/>
          <w:szCs w:val="24"/>
          <w:rtl w:val="0"/>
        </w:rPr>
        <w:t xml:space="preserve">, v. 12, n. 3, p. 185-233, 1994. DOI: 10.1207/s1532690xci1203_1. Disponível em: </w:t>
      </w:r>
      <w:r>
        <w:rPr>
          <w:sz w:val="24"/>
          <w:szCs w:val="24"/>
        </w:rPr>
        <w:fldChar w:fldCharType="begin"/>
      </w:r>
      <w:r>
        <w:rPr>
          <w:sz w:val="24"/>
          <w:szCs w:val="24"/>
        </w:rPr>
        <w:instrText xml:space="preserve"> HYPERLINK "https://doi.org/10.1207/s1532690xci1203_1" \h </w:instrText>
      </w:r>
      <w:r>
        <w:rPr>
          <w:sz w:val="24"/>
          <w:szCs w:val="24"/>
        </w:rPr>
        <w:fldChar w:fldCharType="separate"/>
      </w:r>
      <w:r>
        <w:rPr>
          <w:color w:val="1155CC"/>
          <w:sz w:val="24"/>
          <w:szCs w:val="24"/>
          <w:u w:val="single"/>
          <w:rtl w:val="0"/>
        </w:rPr>
        <w:t>https://doi.org/10.1207/s1532690xci1203_1</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SWELLER, J.; VAN MERRIENBOER, J. J. G.; PAAS, F. Cognitive Architecture and Instructional Design. </w:t>
      </w:r>
      <w:r>
        <w:rPr>
          <w:b/>
          <w:sz w:val="24"/>
          <w:szCs w:val="24"/>
          <w:rtl w:val="0"/>
        </w:rPr>
        <w:t>Educational Psychology Review</w:t>
      </w:r>
      <w:r>
        <w:rPr>
          <w:sz w:val="24"/>
          <w:szCs w:val="24"/>
          <w:rtl w:val="0"/>
        </w:rPr>
        <w:t xml:space="preserve">, v. 10, n. 3, p. 251-296, 1998. DOI: 10.1023/A:1022193728205. Disponível em: </w:t>
      </w:r>
      <w:r>
        <w:rPr>
          <w:sz w:val="24"/>
          <w:szCs w:val="24"/>
        </w:rPr>
        <w:fldChar w:fldCharType="begin"/>
      </w:r>
      <w:r>
        <w:rPr>
          <w:sz w:val="24"/>
          <w:szCs w:val="24"/>
        </w:rPr>
        <w:instrText xml:space="preserve"> HYPERLINK "https://doi.org/10.1023/A:1022193728205" \h </w:instrText>
      </w:r>
      <w:r>
        <w:rPr>
          <w:sz w:val="24"/>
          <w:szCs w:val="24"/>
        </w:rPr>
        <w:fldChar w:fldCharType="separate"/>
      </w:r>
      <w:r>
        <w:rPr>
          <w:color w:val="1155CC"/>
          <w:sz w:val="24"/>
          <w:szCs w:val="24"/>
          <w:u w:val="single"/>
          <w:rtl w:val="0"/>
        </w:rPr>
        <w:t>https://doi.org/10.1023/A:1022193728205</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TANTITHAMTHAVORN, C. et al. MLOps, LLMOps, FMOps, and Beyond. </w:t>
      </w:r>
      <w:r>
        <w:rPr>
          <w:b/>
          <w:sz w:val="24"/>
          <w:szCs w:val="24"/>
          <w:rtl w:val="0"/>
        </w:rPr>
        <w:t>IEEE Software</w:t>
      </w:r>
      <w:r>
        <w:rPr>
          <w:sz w:val="24"/>
          <w:szCs w:val="24"/>
          <w:rtl w:val="0"/>
        </w:rPr>
        <w:t>, v. 42, n. 1, p. 26-32, jan./fev. 2025. DOI: 10.1109/MS.2024.3477014.</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TATE, T. et al. ChatGPT and the Future of University Assessment. 2023. </w:t>
      </w:r>
      <w:r>
        <w:rPr>
          <w:b/>
          <w:sz w:val="24"/>
          <w:szCs w:val="24"/>
          <w:rtl w:val="0"/>
        </w:rPr>
        <w:t>EdArXiv</w:t>
      </w:r>
      <w:r>
        <w:rPr>
          <w:sz w:val="24"/>
          <w:szCs w:val="24"/>
          <w:rtl w:val="0"/>
        </w:rPr>
        <w:t xml:space="preserve">. DOI: 10.35542/osf.io/562k3. Disponível em: </w:t>
      </w:r>
      <w:r>
        <w:rPr>
          <w:sz w:val="24"/>
          <w:szCs w:val="24"/>
        </w:rPr>
        <w:fldChar w:fldCharType="begin"/>
      </w:r>
      <w:r>
        <w:rPr>
          <w:sz w:val="24"/>
          <w:szCs w:val="24"/>
        </w:rPr>
        <w:instrText xml:space="preserve"> HYPERLINK "https://edarxiv.org/562k3/" \h </w:instrText>
      </w:r>
      <w:r>
        <w:rPr>
          <w:sz w:val="24"/>
          <w:szCs w:val="24"/>
        </w:rPr>
        <w:fldChar w:fldCharType="separate"/>
      </w:r>
      <w:r>
        <w:rPr>
          <w:color w:val="1155CC"/>
          <w:sz w:val="24"/>
          <w:szCs w:val="24"/>
          <w:u w:val="single"/>
          <w:rtl w:val="0"/>
        </w:rPr>
        <w:t>https://edarxiv.org/562k3/</w:t>
      </w:r>
      <w:r>
        <w:rPr>
          <w:color w:val="1155CC"/>
          <w:sz w:val="24"/>
          <w:szCs w:val="24"/>
          <w:u w:val="single"/>
          <w:rtl w:val="0"/>
        </w:rPr>
        <w:fldChar w:fldCharType="end"/>
      </w:r>
      <w:r>
        <w:rPr>
          <w:sz w:val="24"/>
          <w:szCs w:val="24"/>
          <w:rtl w:val="0"/>
        </w:rPr>
        <w:t>. Acesso em: 25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THOMAS, J. W. </w:t>
      </w:r>
      <w:r>
        <w:rPr>
          <w:b/>
          <w:sz w:val="24"/>
          <w:szCs w:val="24"/>
          <w:rtl w:val="0"/>
        </w:rPr>
        <w:t>A review of research on project-based learning</w:t>
      </w:r>
      <w:r>
        <w:rPr>
          <w:sz w:val="24"/>
          <w:szCs w:val="24"/>
          <w:rtl w:val="0"/>
        </w:rPr>
        <w:t xml:space="preserve">. San Rafael, CA: Autodesk Foundation, 2000. Disponível em: </w:t>
      </w:r>
      <w:r>
        <w:rPr>
          <w:sz w:val="24"/>
          <w:szCs w:val="24"/>
        </w:rPr>
        <w:fldChar w:fldCharType="begin"/>
      </w:r>
      <w:r>
        <w:rPr>
          <w:sz w:val="24"/>
          <w:szCs w:val="24"/>
        </w:rPr>
        <w:instrText xml:space="preserve"> HYPERLINK "http://www.bie.org/research/study/review_of_project_based_learning" \h </w:instrText>
      </w:r>
      <w:r>
        <w:rPr>
          <w:sz w:val="24"/>
          <w:szCs w:val="24"/>
        </w:rPr>
        <w:fldChar w:fldCharType="separate"/>
      </w:r>
      <w:r>
        <w:rPr>
          <w:color w:val="1155CC"/>
          <w:sz w:val="24"/>
          <w:szCs w:val="24"/>
          <w:u w:val="single"/>
          <w:rtl w:val="0"/>
        </w:rPr>
        <w:t>http://www.bie.org/research/study/review_of_project_based_learning</w:t>
      </w:r>
      <w:r>
        <w:rPr>
          <w:color w:val="1155CC"/>
          <w:sz w:val="24"/>
          <w:szCs w:val="24"/>
          <w:u w:val="single"/>
          <w:rtl w:val="0"/>
        </w:rPr>
        <w:fldChar w:fldCharType="end"/>
      </w:r>
      <w:r>
        <w:rPr>
          <w:sz w:val="24"/>
          <w:szCs w:val="24"/>
          <w:rtl w:val="0"/>
        </w:rPr>
        <w:t>. Acesso em: 25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TIAN, H. et al. Is Your Code Generated by ChatGPT Really Correct? Rigorous Evaluation of Large Language Models for Code Generation. 2023. arXiv:2305.01210. Disponível em: </w:t>
      </w:r>
      <w:r>
        <w:rPr>
          <w:sz w:val="24"/>
          <w:szCs w:val="24"/>
        </w:rPr>
        <w:fldChar w:fldCharType="begin"/>
      </w:r>
      <w:r>
        <w:rPr>
          <w:sz w:val="24"/>
          <w:szCs w:val="24"/>
        </w:rPr>
        <w:instrText xml:space="preserve"> HYPERLINK "https://arxiv.org/abs/2305.01210" \h </w:instrText>
      </w:r>
      <w:r>
        <w:rPr>
          <w:sz w:val="24"/>
          <w:szCs w:val="24"/>
        </w:rPr>
        <w:fldChar w:fldCharType="separate"/>
      </w:r>
      <w:r>
        <w:rPr>
          <w:color w:val="1155CC"/>
          <w:sz w:val="24"/>
          <w:szCs w:val="24"/>
          <w:u w:val="single"/>
          <w:rtl w:val="0"/>
        </w:rPr>
        <w:t>https://arxiv.org/abs/2305.01210</w:t>
      </w:r>
      <w:r>
        <w:rPr>
          <w:color w:val="1155CC"/>
          <w:sz w:val="24"/>
          <w:szCs w:val="24"/>
          <w:u w:val="single"/>
          <w:rtl w:val="0"/>
        </w:rPr>
        <w:fldChar w:fldCharType="end"/>
      </w:r>
      <w:r>
        <w:rPr>
          <w:sz w:val="24"/>
          <w:szCs w:val="24"/>
          <w:rtl w:val="0"/>
        </w:rPr>
        <w:t>. Acesso em: 25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TOUVRON, H. et al. Llama 2: Open Foundation and Fine-Tuned Chat Models. 2023. arXiv:2307.09288. Disponível em: </w:t>
      </w:r>
      <w:r>
        <w:rPr>
          <w:sz w:val="24"/>
          <w:szCs w:val="24"/>
        </w:rPr>
        <w:fldChar w:fldCharType="begin"/>
      </w:r>
      <w:r>
        <w:rPr>
          <w:sz w:val="24"/>
          <w:szCs w:val="24"/>
        </w:rPr>
        <w:instrText xml:space="preserve"> HYPERLINK "https://arxiv.org/abs/2307.09288" \h </w:instrText>
      </w:r>
      <w:r>
        <w:rPr>
          <w:sz w:val="24"/>
          <w:szCs w:val="24"/>
        </w:rPr>
        <w:fldChar w:fldCharType="separate"/>
      </w:r>
      <w:r>
        <w:rPr>
          <w:color w:val="1155CC"/>
          <w:sz w:val="24"/>
          <w:szCs w:val="24"/>
          <w:u w:val="single"/>
          <w:rtl w:val="0"/>
        </w:rPr>
        <w:t>https://arxiv.org/abs/2307.09288</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TRUONG, Q.-T. et al. Towards Automated Testing of LLM-based Applications: A Survey. 2023. arXiv:2311.18119. Disponível em: </w:t>
      </w:r>
      <w:r>
        <w:rPr>
          <w:sz w:val="24"/>
          <w:szCs w:val="24"/>
        </w:rPr>
        <w:fldChar w:fldCharType="begin"/>
      </w:r>
      <w:r>
        <w:rPr>
          <w:sz w:val="24"/>
          <w:szCs w:val="24"/>
        </w:rPr>
        <w:instrText xml:space="preserve"> HYPERLINK "https://arxiv.org/abs/2311.18119" \h </w:instrText>
      </w:r>
      <w:r>
        <w:rPr>
          <w:sz w:val="24"/>
          <w:szCs w:val="24"/>
        </w:rPr>
        <w:fldChar w:fldCharType="separate"/>
      </w:r>
      <w:r>
        <w:rPr>
          <w:color w:val="1155CC"/>
          <w:sz w:val="24"/>
          <w:szCs w:val="24"/>
          <w:u w:val="single"/>
          <w:rtl w:val="0"/>
        </w:rPr>
        <w:t>https://arxiv.org/abs/2311.18119</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VAN MERRIËNBOER, J. J. G.; SWELLER, J. Cognitive load theory and complex learning: Recent developments and future directions. </w:t>
      </w:r>
      <w:r>
        <w:rPr>
          <w:b/>
          <w:sz w:val="24"/>
          <w:szCs w:val="24"/>
          <w:rtl w:val="0"/>
        </w:rPr>
        <w:t>Educational Psychology Review</w:t>
      </w:r>
      <w:r>
        <w:rPr>
          <w:sz w:val="24"/>
          <w:szCs w:val="24"/>
          <w:rtl w:val="0"/>
        </w:rPr>
        <w:t xml:space="preserve">, v. 17, n. 2, p. 147-177, 2005. DOI: 10.1007/s10648-005-3951-0. Disponível em: </w:t>
      </w:r>
      <w:r>
        <w:rPr>
          <w:sz w:val="24"/>
          <w:szCs w:val="24"/>
        </w:rPr>
        <w:fldChar w:fldCharType="begin"/>
      </w:r>
      <w:r>
        <w:rPr>
          <w:sz w:val="24"/>
          <w:szCs w:val="24"/>
        </w:rPr>
        <w:instrText xml:space="preserve"> HYPERLINK "https://doi.org/10.1007/s10648-005-3951-0" \h </w:instrText>
      </w:r>
      <w:r>
        <w:rPr>
          <w:sz w:val="24"/>
          <w:szCs w:val="24"/>
        </w:rPr>
        <w:fldChar w:fldCharType="separate"/>
      </w:r>
      <w:r>
        <w:rPr>
          <w:color w:val="1155CC"/>
          <w:sz w:val="24"/>
          <w:szCs w:val="24"/>
          <w:u w:val="single"/>
          <w:rtl w:val="0"/>
        </w:rPr>
        <w:t>https://doi.org/10.1007/s10648-005-3951-0</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WANG, H. et al. Leveraging Reasoning Model Answers to Enhance Non-Reasoning Model Capability. 2025. arXiv:2504.09639. Disponível em: </w:t>
      </w:r>
      <w:r>
        <w:rPr>
          <w:sz w:val="24"/>
          <w:szCs w:val="24"/>
        </w:rPr>
        <w:fldChar w:fldCharType="begin"/>
      </w:r>
      <w:r>
        <w:rPr>
          <w:sz w:val="24"/>
          <w:szCs w:val="24"/>
        </w:rPr>
        <w:instrText xml:space="preserve"> HYPERLINK "https://arxiv.org/abs/2504.09639" \h </w:instrText>
      </w:r>
      <w:r>
        <w:rPr>
          <w:sz w:val="24"/>
          <w:szCs w:val="24"/>
        </w:rPr>
        <w:fldChar w:fldCharType="separate"/>
      </w:r>
      <w:r>
        <w:rPr>
          <w:color w:val="1155CC"/>
          <w:sz w:val="24"/>
          <w:szCs w:val="24"/>
          <w:u w:val="single"/>
          <w:rtl w:val="0"/>
        </w:rPr>
        <w:t>https://arxiv.org/abs/2504.09639</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WOOD, D.; BRUNER, J. S.; ROSS, G. The role of tutoring in problem solving. </w:t>
      </w:r>
      <w:r>
        <w:rPr>
          <w:b/>
          <w:sz w:val="24"/>
          <w:szCs w:val="24"/>
          <w:rtl w:val="0"/>
        </w:rPr>
        <w:t>Journal of Child Psychology and Psychiatry</w:t>
      </w:r>
      <w:r>
        <w:rPr>
          <w:sz w:val="24"/>
          <w:szCs w:val="24"/>
          <w:rtl w:val="0"/>
        </w:rPr>
        <w:t xml:space="preserve">, v. 17, n. 2, p. 89-100, 1976. DOI: 10.1111/j.1469-7610.1976.tb00381.x. Disponível em: </w:t>
      </w:r>
      <w:r>
        <w:rPr>
          <w:sz w:val="24"/>
          <w:szCs w:val="24"/>
        </w:rPr>
        <w:fldChar w:fldCharType="begin"/>
      </w:r>
      <w:r>
        <w:rPr>
          <w:sz w:val="24"/>
          <w:szCs w:val="24"/>
        </w:rPr>
        <w:instrText xml:space="preserve"> HYPERLINK "https://doi.org/10.1111/j.1469-7610.1976.tb00381.x" \h </w:instrText>
      </w:r>
      <w:r>
        <w:rPr>
          <w:sz w:val="24"/>
          <w:szCs w:val="24"/>
        </w:rPr>
        <w:fldChar w:fldCharType="separate"/>
      </w:r>
      <w:r>
        <w:rPr>
          <w:color w:val="1155CC"/>
          <w:sz w:val="24"/>
          <w:szCs w:val="24"/>
          <w:u w:val="single"/>
          <w:rtl w:val="0"/>
        </w:rPr>
        <w:t>https://doi.org/10.1111/j.1469-7610.1976.tb00381.x</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WU, T. et al. AutoGen: Enabling Next-Gen LLM Applications via Multi-Agent Conversation Framework. 2023. arXiv:2308.08155. Disponível em: </w:t>
      </w:r>
      <w:r>
        <w:rPr>
          <w:sz w:val="24"/>
          <w:szCs w:val="24"/>
        </w:rPr>
        <w:fldChar w:fldCharType="begin"/>
      </w:r>
      <w:r>
        <w:rPr>
          <w:sz w:val="24"/>
          <w:szCs w:val="24"/>
        </w:rPr>
        <w:instrText xml:space="preserve"> HYPERLINK "https://arxiv.org/abs/2308.08155" \h </w:instrText>
      </w:r>
      <w:r>
        <w:rPr>
          <w:sz w:val="24"/>
          <w:szCs w:val="24"/>
        </w:rPr>
        <w:fldChar w:fldCharType="separate"/>
      </w:r>
      <w:r>
        <w:rPr>
          <w:color w:val="1155CC"/>
          <w:sz w:val="24"/>
          <w:szCs w:val="24"/>
          <w:u w:val="single"/>
          <w:rtl w:val="0"/>
        </w:rPr>
        <w:t>https://arxiv.org/abs/2308.08155</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XIA, S. et al. Unlocking Deep Thinking in Language Models: Cognition Engineering through Inference Time Scaling and Reinforcement Learning. 2025. arXiv:2504.13828. Disponível em: </w:t>
      </w:r>
      <w:r>
        <w:rPr>
          <w:sz w:val="24"/>
          <w:szCs w:val="24"/>
        </w:rPr>
        <w:fldChar w:fldCharType="begin"/>
      </w:r>
      <w:r>
        <w:rPr>
          <w:sz w:val="24"/>
          <w:szCs w:val="24"/>
        </w:rPr>
        <w:instrText xml:space="preserve"> HYPERLINK "https://arxiv.org/abs/2504.13828" \h </w:instrText>
      </w:r>
      <w:r>
        <w:rPr>
          <w:sz w:val="24"/>
          <w:szCs w:val="24"/>
        </w:rPr>
        <w:fldChar w:fldCharType="separate"/>
      </w:r>
      <w:r>
        <w:rPr>
          <w:color w:val="1155CC"/>
          <w:sz w:val="24"/>
          <w:szCs w:val="24"/>
          <w:u w:val="single"/>
          <w:rtl w:val="0"/>
        </w:rPr>
        <w:t>https://arxiv.org/abs/2504.13828</w:t>
      </w:r>
      <w:r>
        <w:rPr>
          <w:color w:val="1155CC"/>
          <w:sz w:val="24"/>
          <w:szCs w:val="24"/>
          <w:u w:val="single"/>
          <w:rtl w:val="0"/>
        </w:rPr>
        <w:fldChar w:fldCharType="end"/>
      </w:r>
      <w:r>
        <w:rPr>
          <w:sz w:val="24"/>
          <w:szCs w:val="24"/>
          <w:rtl w:val="0"/>
        </w:rPr>
        <w:t>. Acesso em: 24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XINOGALOS, S. Cognitive Load in Computer Science Education: A Systematic Literature Review. </w:t>
      </w:r>
      <w:r>
        <w:rPr>
          <w:b/>
          <w:sz w:val="24"/>
          <w:szCs w:val="24"/>
          <w:rtl w:val="0"/>
        </w:rPr>
        <w:t>IEEE Transactions on Learning Technologies</w:t>
      </w:r>
      <w:r>
        <w:rPr>
          <w:sz w:val="24"/>
          <w:szCs w:val="24"/>
          <w:rtl w:val="0"/>
        </w:rPr>
        <w:t>, v. 14, n. 5, p. 648-664, Sept.-Oct. 2021. DOI: 10.1109/TLT.2021.3122001.</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XU, W. </w:t>
      </w:r>
      <w:r>
        <w:rPr>
          <w:b/>
          <w:sz w:val="24"/>
          <w:szCs w:val="24"/>
          <w:rtl w:val="0"/>
        </w:rPr>
        <w:t>Human-Centered AI</w:t>
      </w:r>
      <w:r>
        <w:rPr>
          <w:sz w:val="24"/>
          <w:szCs w:val="24"/>
          <w:rtl w:val="0"/>
        </w:rPr>
        <w:t>. Boca Raton: CRC Press, 2019.</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YAO, Z. et al. ZeroQuant: Efficient and Affordable Post-Training Quantization for Large-Scale Transformers. 2022. arXiv:2206.01861. Disponível em: </w:t>
      </w:r>
      <w:r>
        <w:rPr>
          <w:sz w:val="24"/>
          <w:szCs w:val="24"/>
        </w:rPr>
        <w:fldChar w:fldCharType="begin"/>
      </w:r>
      <w:r>
        <w:rPr>
          <w:sz w:val="24"/>
          <w:szCs w:val="24"/>
        </w:rPr>
        <w:instrText xml:space="preserve"> HYPERLINK "https://arxiv.org/abs/2206.01861" \h </w:instrText>
      </w:r>
      <w:r>
        <w:rPr>
          <w:sz w:val="24"/>
          <w:szCs w:val="24"/>
        </w:rPr>
        <w:fldChar w:fldCharType="separate"/>
      </w:r>
      <w:r>
        <w:rPr>
          <w:color w:val="1155CC"/>
          <w:sz w:val="24"/>
          <w:szCs w:val="24"/>
          <w:u w:val="single"/>
          <w:rtl w:val="0"/>
        </w:rPr>
        <w:t>https://arxiv.org/abs/2206.01861</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YETISTIREN, B. et al. A Systematic Literature Review on the Use of Large Language Models in Software Engineering. 2024. arXiv:2402.18551. Disponível em: </w:t>
      </w:r>
      <w:r>
        <w:rPr>
          <w:sz w:val="24"/>
          <w:szCs w:val="24"/>
        </w:rPr>
        <w:fldChar w:fldCharType="begin"/>
      </w:r>
      <w:r>
        <w:rPr>
          <w:sz w:val="24"/>
          <w:szCs w:val="24"/>
        </w:rPr>
        <w:instrText xml:space="preserve"> HYPERLINK "https://arxiv.org/abs/2402.18551" \h </w:instrText>
      </w:r>
      <w:r>
        <w:rPr>
          <w:sz w:val="24"/>
          <w:szCs w:val="24"/>
        </w:rPr>
        <w:fldChar w:fldCharType="separate"/>
      </w:r>
      <w:r>
        <w:rPr>
          <w:color w:val="1155CC"/>
          <w:sz w:val="24"/>
          <w:szCs w:val="24"/>
          <w:u w:val="single"/>
          <w:rtl w:val="0"/>
        </w:rPr>
        <w:t>https://arxiv.org/abs/2402.18551</w:t>
      </w:r>
      <w:r>
        <w:rPr>
          <w:color w:val="1155CC"/>
          <w:sz w:val="24"/>
          <w:szCs w:val="24"/>
          <w:u w:val="single"/>
          <w:rtl w:val="0"/>
        </w:rPr>
        <w:fldChar w:fldCharType="end"/>
      </w:r>
      <w:r>
        <w:rPr>
          <w:sz w:val="24"/>
          <w:szCs w:val="24"/>
          <w:rtl w:val="0"/>
        </w:rPr>
        <w:t>. Acesso em: 25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ZHANG, J.; NORMAN, D. A. Representations in distributed cognitive tasks. </w:t>
      </w:r>
      <w:r>
        <w:rPr>
          <w:b/>
          <w:sz w:val="24"/>
          <w:szCs w:val="24"/>
          <w:rtl w:val="0"/>
        </w:rPr>
        <w:t>Cognitive Science</w:t>
      </w:r>
      <w:r>
        <w:rPr>
          <w:sz w:val="24"/>
          <w:szCs w:val="24"/>
          <w:rtl w:val="0"/>
        </w:rPr>
        <w:t xml:space="preserve">, v. 18, n. 1, p. 87-122, 1994. DOI: 10.1207/s15516709cog1801_3. Disponível em: </w:t>
      </w:r>
      <w:r>
        <w:rPr>
          <w:sz w:val="24"/>
          <w:szCs w:val="24"/>
        </w:rPr>
        <w:fldChar w:fldCharType="begin"/>
      </w:r>
      <w:r>
        <w:rPr>
          <w:sz w:val="24"/>
          <w:szCs w:val="24"/>
        </w:rPr>
        <w:instrText xml:space="preserve"> HYPERLINK "https://doi.org/10.1207/s15516709cog1801_3" \h </w:instrText>
      </w:r>
      <w:r>
        <w:rPr>
          <w:sz w:val="24"/>
          <w:szCs w:val="24"/>
        </w:rPr>
        <w:fldChar w:fldCharType="separate"/>
      </w:r>
      <w:r>
        <w:rPr>
          <w:color w:val="1155CC"/>
          <w:sz w:val="24"/>
          <w:szCs w:val="24"/>
          <w:u w:val="single"/>
          <w:rtl w:val="0"/>
        </w:rPr>
        <w:t>https://doi.org/10.1207/s15516709cog1801_3</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ZHANG, T. et al. LLM-Orchestrator: Orchestrating Collaborative Large Language Models for Automated Software Engineering. 2025. arXiv:2402.16831. Disponível em: </w:t>
      </w:r>
      <w:r>
        <w:rPr>
          <w:sz w:val="24"/>
          <w:szCs w:val="24"/>
        </w:rPr>
        <w:fldChar w:fldCharType="begin"/>
      </w:r>
      <w:r>
        <w:rPr>
          <w:sz w:val="24"/>
          <w:szCs w:val="24"/>
        </w:rPr>
        <w:instrText xml:space="preserve"> HYPERLINK "https://arxiv.org/abs/2402.16831" \h </w:instrText>
      </w:r>
      <w:r>
        <w:rPr>
          <w:sz w:val="24"/>
          <w:szCs w:val="24"/>
        </w:rPr>
        <w:fldChar w:fldCharType="separate"/>
      </w:r>
      <w:r>
        <w:rPr>
          <w:color w:val="1155CC"/>
          <w:sz w:val="24"/>
          <w:szCs w:val="24"/>
          <w:u w:val="single"/>
          <w:rtl w:val="0"/>
        </w:rPr>
        <w:t>https://arxiv.org/abs/2402.16831</w:t>
      </w:r>
      <w:r>
        <w:rPr>
          <w:color w:val="1155CC"/>
          <w:sz w:val="24"/>
          <w:szCs w:val="24"/>
          <w:u w:val="single"/>
          <w:rtl w:val="0"/>
        </w:rPr>
        <w:fldChar w:fldCharType="end"/>
      </w:r>
      <w:r>
        <w:rPr>
          <w:sz w:val="24"/>
          <w:szCs w:val="24"/>
          <w:rtl w:val="0"/>
        </w:rPr>
        <w:t>. Acesso em: 20 abr. 2025.</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both"/>
        <w:textAlignment w:val="auto"/>
        <w:rPr>
          <w:rFonts w:hint="default"/>
          <w:sz w:val="24"/>
          <w:szCs w:val="24"/>
          <w:rtl w:val="0"/>
          <w:lang w:val="pt-BR"/>
        </w:rPr>
      </w:pPr>
      <w:r>
        <w:rPr>
          <w:sz w:val="24"/>
          <w:szCs w:val="24"/>
          <w:rtl w:val="0"/>
        </w:rPr>
        <w:t xml:space="preserve">ZHAO, P.; YAUN, X. GANQ: GPU-Adaptive Non-Uniform Quantization for Large Language Models. 2025. arXiv:2501.12956. Disponível em: </w:t>
      </w:r>
      <w:r>
        <w:rPr>
          <w:sz w:val="24"/>
          <w:szCs w:val="24"/>
        </w:rPr>
        <w:fldChar w:fldCharType="begin"/>
      </w:r>
      <w:r>
        <w:rPr>
          <w:sz w:val="24"/>
          <w:szCs w:val="24"/>
        </w:rPr>
        <w:instrText xml:space="preserve"> HYPERLINK "https://arxiv.org/abs/2501.12956" \h </w:instrText>
      </w:r>
      <w:r>
        <w:rPr>
          <w:sz w:val="24"/>
          <w:szCs w:val="24"/>
        </w:rPr>
        <w:fldChar w:fldCharType="separate"/>
      </w:r>
      <w:r>
        <w:rPr>
          <w:color w:val="1155CC"/>
          <w:sz w:val="24"/>
          <w:szCs w:val="24"/>
          <w:u w:val="single"/>
          <w:rtl w:val="0"/>
        </w:rPr>
        <w:t>https://arxiv.org/abs/2501.12956</w:t>
      </w:r>
      <w:r>
        <w:rPr>
          <w:color w:val="1155CC"/>
          <w:sz w:val="24"/>
          <w:szCs w:val="24"/>
          <w:u w:val="single"/>
          <w:rtl w:val="0"/>
        </w:rPr>
        <w:fldChar w:fldCharType="end"/>
      </w:r>
      <w:r>
        <w:rPr>
          <w:sz w:val="24"/>
          <w:szCs w:val="24"/>
          <w:rtl w:val="0"/>
        </w:rPr>
        <w:t>. Acesso em: 20 abr. 2025.</w:t>
      </w:r>
    </w:p>
    <w:p>
      <w:pPr>
        <w:rPr>
          <w:rFonts w:hint="default"/>
          <w:sz w:val="24"/>
          <w:szCs w:val="24"/>
          <w:rtl w:val="0"/>
          <w:lang w:val="pt-BR"/>
        </w:rPr>
      </w:pPr>
      <w:r>
        <w:rPr>
          <w:sz w:val="24"/>
          <w:szCs w:val="24"/>
          <w:rtl w:val="0"/>
        </w:rPr>
        <w:t xml:space="preserve">ZIMMERMAN, B. J. Becoming a self-regulated learner: An overview. </w:t>
      </w:r>
      <w:r>
        <w:rPr>
          <w:b/>
          <w:sz w:val="24"/>
          <w:szCs w:val="24"/>
          <w:rtl w:val="0"/>
        </w:rPr>
        <w:t>Theory Into Practice</w:t>
      </w:r>
      <w:r>
        <w:rPr>
          <w:sz w:val="24"/>
          <w:szCs w:val="24"/>
          <w:rtl w:val="0"/>
        </w:rPr>
        <w:t xml:space="preserve">, v. 41, n. 2, p. 64-70, 2002. DOI: 10.1207/s15430421tip4102_2. Disponível em: </w:t>
      </w:r>
      <w:r>
        <w:rPr>
          <w:sz w:val="24"/>
          <w:szCs w:val="24"/>
        </w:rPr>
        <w:fldChar w:fldCharType="begin"/>
      </w:r>
      <w:r>
        <w:rPr>
          <w:sz w:val="24"/>
          <w:szCs w:val="24"/>
        </w:rPr>
        <w:instrText xml:space="preserve"> HYPERLINK "https://doi.org/10.1207/s15430421tip4102_2" \h </w:instrText>
      </w:r>
      <w:r>
        <w:rPr>
          <w:sz w:val="24"/>
          <w:szCs w:val="24"/>
        </w:rPr>
        <w:fldChar w:fldCharType="separate"/>
      </w:r>
      <w:r>
        <w:rPr>
          <w:color w:val="1155CC"/>
          <w:sz w:val="24"/>
          <w:szCs w:val="24"/>
          <w:u w:val="single"/>
          <w:rtl w:val="0"/>
        </w:rPr>
        <w:t>https://doi.org/10.1207/s15430421tip4102_2</w:t>
      </w:r>
      <w:r>
        <w:rPr>
          <w:color w:val="1155CC"/>
          <w:sz w:val="24"/>
          <w:szCs w:val="24"/>
          <w:u w:val="single"/>
          <w:rtl w:val="0"/>
        </w:rPr>
        <w:fldChar w:fldCharType="end"/>
      </w:r>
      <w:r>
        <w:rPr>
          <w:sz w:val="24"/>
          <w:szCs w:val="24"/>
          <w:rtl w:val="0"/>
        </w:rPr>
        <w:t>. Acesso em: 20 abr. 2025.</w:t>
      </w:r>
    </w:p>
    <w:sectPr>
      <w:pgSz w:w="11905" w:h="16837"/>
      <w:pgMar w:top="1701" w:right="1134" w:bottom="1134" w:left="1701"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3030804020204"/>
    <w:charset w:val="00"/>
    <w:family w:val="auto"/>
    <w:pitch w:val="default"/>
    <w:sig w:usb0="E7006EFF" w:usb1="D200FDFF" w:usb2="0A246029" w:usb3="0400200C" w:csb0="600001FF" w:csb1="DFFF0000"/>
  </w:font>
  <w:font w:name="Wingdings">
    <w:altName w:val="Bitstream Vera Sans"/>
    <w:panose1 w:val="05000000000000000000"/>
    <w:charset w:val="00"/>
    <w:family w:val="auto"/>
    <w:pitch w:val="default"/>
    <w:sig w:usb0="00000000" w:usb1="10000000" w:usb2="00000000" w:usb3="00000000" w:csb0="80000000" w:csb1="00000000"/>
  </w:font>
  <w:font w:name="Bitstream Vera Sans">
    <w:panose1 w:val="020B0603030804020204"/>
    <w:charset w:val="00"/>
    <w:family w:val="auto"/>
    <w:pitch w:val="default"/>
    <w:sig w:usb0="800000AF" w:usb1="1000204A"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EAF28EC"/>
    <w:rsid w:val="169D020D"/>
    <w:rsid w:val="1F2FA47C"/>
    <w:rsid w:val="1F945A97"/>
    <w:rsid w:val="22446344"/>
    <w:rsid w:val="22AFBAB5"/>
    <w:rsid w:val="2698469F"/>
    <w:rsid w:val="26BC135E"/>
    <w:rsid w:val="2F7774BA"/>
    <w:rsid w:val="37EF0379"/>
    <w:rsid w:val="382F7B3A"/>
    <w:rsid w:val="3976307C"/>
    <w:rsid w:val="3EBC2DAA"/>
    <w:rsid w:val="3EEF586A"/>
    <w:rsid w:val="45535FF6"/>
    <w:rsid w:val="4E025361"/>
    <w:rsid w:val="4FD600CB"/>
    <w:rsid w:val="4FFDFA7E"/>
    <w:rsid w:val="4FFFD940"/>
    <w:rsid w:val="56D5C183"/>
    <w:rsid w:val="5AD64741"/>
    <w:rsid w:val="5D7FDDD2"/>
    <w:rsid w:val="5E55B848"/>
    <w:rsid w:val="5EEEAE04"/>
    <w:rsid w:val="5EFA9DDA"/>
    <w:rsid w:val="5EFFF2E1"/>
    <w:rsid w:val="5FFF827C"/>
    <w:rsid w:val="6081413B"/>
    <w:rsid w:val="66C41300"/>
    <w:rsid w:val="679E652B"/>
    <w:rsid w:val="67D7D354"/>
    <w:rsid w:val="6C3BB6A2"/>
    <w:rsid w:val="6D072638"/>
    <w:rsid w:val="6EBFDA7F"/>
    <w:rsid w:val="6FEF8703"/>
    <w:rsid w:val="712A0235"/>
    <w:rsid w:val="73952308"/>
    <w:rsid w:val="77D20653"/>
    <w:rsid w:val="77E2E51F"/>
    <w:rsid w:val="78A148FF"/>
    <w:rsid w:val="7B9DFF71"/>
    <w:rsid w:val="7DC9C14E"/>
    <w:rsid w:val="7DCB985B"/>
    <w:rsid w:val="7E3F43ED"/>
    <w:rsid w:val="7FBB86E0"/>
    <w:rsid w:val="7FDF483C"/>
    <w:rsid w:val="7FE6E6AD"/>
    <w:rsid w:val="7FEFAA81"/>
    <w:rsid w:val="7FFA0B74"/>
    <w:rsid w:val="7FFE8D38"/>
    <w:rsid w:val="9FF99EF0"/>
    <w:rsid w:val="9FFF18F7"/>
    <w:rsid w:val="AC5FF3BF"/>
    <w:rsid w:val="AD972C2D"/>
    <w:rsid w:val="ADB951E6"/>
    <w:rsid w:val="B3FFBE29"/>
    <w:rsid w:val="B48B177C"/>
    <w:rsid w:val="B7FF1C9A"/>
    <w:rsid w:val="BAFCDB2C"/>
    <w:rsid w:val="BB5FAC91"/>
    <w:rsid w:val="BCB789B3"/>
    <w:rsid w:val="BDFFE84D"/>
    <w:rsid w:val="BF1E0025"/>
    <w:rsid w:val="BFE95AF9"/>
    <w:rsid w:val="CFF596CA"/>
    <w:rsid w:val="D5FB5909"/>
    <w:rsid w:val="D99FA3ED"/>
    <w:rsid w:val="DBAF19A2"/>
    <w:rsid w:val="DDDBF25B"/>
    <w:rsid w:val="DE5766D9"/>
    <w:rsid w:val="DFFFBA26"/>
    <w:rsid w:val="E3A32AC7"/>
    <w:rsid w:val="E591320B"/>
    <w:rsid w:val="E59A817B"/>
    <w:rsid w:val="E7DEE89F"/>
    <w:rsid w:val="E7FDA7BB"/>
    <w:rsid w:val="E9FBE92D"/>
    <w:rsid w:val="EB69A63C"/>
    <w:rsid w:val="ED9FCBE5"/>
    <w:rsid w:val="EE7F90FD"/>
    <w:rsid w:val="EEF68B66"/>
    <w:rsid w:val="F6EDDCC2"/>
    <w:rsid w:val="F7B514FD"/>
    <w:rsid w:val="F7BF3216"/>
    <w:rsid w:val="F8722017"/>
    <w:rsid w:val="F9D7C153"/>
    <w:rsid w:val="FABFE0FC"/>
    <w:rsid w:val="FB1DD769"/>
    <w:rsid w:val="FB6A6A79"/>
    <w:rsid w:val="FBF35164"/>
    <w:rsid w:val="FBFF81E3"/>
    <w:rsid w:val="FCE70618"/>
    <w:rsid w:val="FDE7E096"/>
    <w:rsid w:val="FEDB5616"/>
    <w:rsid w:val="FEDF309B"/>
    <w:rsid w:val="FEDFCD71"/>
    <w:rsid w:val="FF9FCA0F"/>
    <w:rsid w:val="FFBB08E9"/>
    <w:rsid w:val="FFDF1B68"/>
    <w:rsid w:val="FFE7BF1C"/>
    <w:rsid w:val="FFF6BB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basedOn w:val="8"/>
    <w:uiPriority w:val="0"/>
    <w:rPr>
      <w:color w:val="0000FF"/>
      <w:u w:val="single"/>
    </w:rPr>
  </w:style>
  <w:style w:type="paragraph" w:styleId="11">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qFormat/>
    <w:uiPriority w:val="0"/>
    <w:pPr>
      <w:keepNext/>
      <w:keepLines/>
      <w:pageBreakBefore w:val="0"/>
      <w:spacing w:before="0" w:after="60"/>
    </w:pPr>
    <w:rPr>
      <w:sz w:val="52"/>
      <w:szCs w:val="52"/>
    </w:rPr>
  </w:style>
  <w:style w:type="table" w:customStyle="1" w:styleId="13">
    <w:name w:val="Table Normal1"/>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36</Pages>
  <TotalTime>22</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2025-04-23T22:11:00Z</dcterms:created>
  <dc:creator>sema</dc:creator>
  <cp:lastModifiedBy>sema</cp:lastModifiedBy>
  <dcterms:modified xsi:type="dcterms:W3CDTF">2025-04-30T10:52:50Z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9E62AE4CC8334118AD8B7FD9510881CE_12</vt:lpwstr>
  </property>
</Properties>
</file>