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pPr>
      <w:r>
        <w:rPr>
          <w:rFonts w:ascii="Times New Roman" w:cs="Times New Roman" w:eastAsia="Times New Roman" w:hAnsi="Times New Roman"/>
          <w:sz w:val="22"/>
          <w:szCs w:val="22"/>
        </w:rPr>
        <w:t xml:space="preserve">Scott Sauyet</w:t>
      </w:r>
    </w:p>
    <w:p>
      <w:pPr>
        <w:spacing w:after="0" w:line="276"/>
      </w:pPr>
      <w:r>
        <w:rPr>
          <w:rFonts w:ascii="Times New Roman" w:cs="Times New Roman" w:eastAsia="Times New Roman" w:hAnsi="Times New Roman"/>
          <w:sz w:val="22"/>
          <w:szCs w:val="22"/>
        </w:rPr>
        <w:t xml:space="preserve">168 Boston Hill Road</w:t>
      </w:r>
    </w:p>
    <w:p>
      <w:pPr>
        <w:spacing w:after="0" w:line="276"/>
      </w:pPr>
      <w:r>
        <w:rPr>
          <w:rFonts w:ascii="Times New Roman" w:cs="Times New Roman" w:eastAsia="Times New Roman" w:hAnsi="Times New Roman"/>
          <w:sz w:val="22"/>
          <w:szCs w:val="22"/>
        </w:rPr>
        <w:t xml:space="preserve">Andover, CT 06232</w:t>
      </w:r>
    </w:p>
    <w:p>
      <w:pPr>
        <w:spacing w:after="240" w:line="276"/>
      </w:pPr>
      <w:r>
        <w:rPr>
          <w:rFonts w:ascii="Times New Roman" w:cs="Times New Roman" w:eastAsia="Times New Roman" w:hAnsi="Times New Roman"/>
          <w:sz w:val="22"/>
          <w:szCs w:val="22"/>
        </w:rPr>
        <w:t xml:space="preserve">scott.sauyet@gmail.com</w:t>
      </w:r>
    </w:p>
    <w:p>
      <w:pPr>
        <w:spacing w:after="240" w:line="276"/>
      </w:pPr>
      <w:r>
        <w:rPr>
          <w:rFonts w:ascii="Times New Roman" w:cs="Times New Roman" w:eastAsia="Times New Roman" w:hAnsi="Times New Roman"/>
          <w:sz w:val="22"/>
          <w:szCs w:val="22"/>
        </w:rPr>
        <w:t xml:space="preserve">July 20, 2026</w:t>
      </w:r>
    </w:p>
    <w:p>
      <w:pPr>
        <w:spacing w:after="0" w:line="276"/>
      </w:pPr>
      <w:r>
        <w:rPr>
          <w:rFonts w:ascii="Times New Roman" w:cs="Times New Roman" w:eastAsia="Times New Roman" w:hAnsi="Times New Roman"/>
          <w:sz w:val="22"/>
          <w:szCs w:val="22"/>
        </w:rPr>
        <w:t xml:space="preserve">Chair and Members of the Board of Finance</w:t>
      </w:r>
    </w:p>
    <w:p>
      <w:pPr>
        <w:spacing w:after="0" w:line="276"/>
      </w:pPr>
      <w:r>
        <w:rPr>
          <w:rFonts w:ascii="Times New Roman" w:cs="Times New Roman" w:eastAsia="Times New Roman" w:hAnsi="Times New Roman"/>
          <w:sz w:val="22"/>
          <w:szCs w:val="22"/>
        </w:rPr>
        <w:t xml:space="preserve">Town of Andover</w:t>
      </w:r>
    </w:p>
    <w:p>
      <w:pPr>
        <w:spacing w:after="0" w:line="276"/>
      </w:pPr>
      <w:r>
        <w:rPr>
          <w:rFonts w:ascii="Times New Roman" w:cs="Times New Roman" w:eastAsia="Times New Roman" w:hAnsi="Times New Roman"/>
          <w:sz w:val="22"/>
          <w:szCs w:val="22"/>
        </w:rPr>
        <w:t xml:space="preserve">17 School Road</w:t>
      </w:r>
    </w:p>
    <w:p>
      <w:pPr>
        <w:spacing w:after="240" w:line="276"/>
      </w:pPr>
      <w:r>
        <w:rPr>
          <w:rFonts w:ascii="Times New Roman" w:cs="Times New Roman" w:eastAsia="Times New Roman" w:hAnsi="Times New Roman"/>
          <w:sz w:val="22"/>
          <w:szCs w:val="22"/>
        </w:rPr>
        <w:t xml:space="preserve">Andover, CT 06232</w:t>
      </w:r>
    </w:p>
    <w:p>
      <w:pPr>
        <w:spacing w:after="160" w:line="276"/>
      </w:pPr>
      <w:r>
        <w:rPr>
          <w:rFonts w:ascii="Times New Roman" w:cs="Times New Roman" w:eastAsia="Times New Roman" w:hAnsi="Times New Roman"/>
          <w:sz w:val="22"/>
          <w:szCs w:val="22"/>
        </w:rPr>
        <w:t xml:space="preserve">Dear Chair England and Members of the Board:</w:t>
      </w:r>
    </w:p>
    <w:p>
      <w:pPr>
        <w:spacing w:after="160" w:line="276"/>
      </w:pPr>
      <w:r>
        <w:rPr>
          <w:rFonts w:ascii="Times New Roman" w:cs="Times New Roman" w:eastAsia="Times New Roman" w:hAnsi="Times New Roman"/>
          <w:sz w:val="22"/>
          <w:szCs w:val="22"/>
        </w:rPr>
        <w:t xml:space="preserve">I write to ask the Board of Finance to consider a change in how the Town of Andover accounts for the state’s Education Cost Sharing (ECS) grant in future budget cycles, beginning with FY 2027-28. With the FY 2026-27 budget now adopted, this is a question for calmer months, not a comment on the season just concluded. The change I propose involves no increase or decrease in town spending and no change in the mill rate. It is a question of how revenue is presented to voters at referendum, in light of the bifurcated budget the town adopted by charter amendment in November 2022.</w:t>
      </w:r>
    </w:p>
    <w:p>
      <w:pPr>
        <w:spacing w:after="160" w:line="276"/>
      </w:pPr>
      <w:r>
        <w:rPr>
          <w:rFonts w:ascii="Times New Roman" w:cs="Times New Roman" w:eastAsia="Times New Roman" w:hAnsi="Times New Roman"/>
          <w:sz w:val="22"/>
          <w:szCs w:val="22"/>
        </w:rPr>
        <w:t xml:space="preserve">In short: I ask the Board to consider explicitly allocating the ECS grant between the Andover Elementary School budget and Andover’s RHAM levy, in proportion to those two budgets as adopted for the prior fiscal year, and presenting that allocation on the face of the budget documents that voters review prior to referendum.</w:t>
      </w:r>
    </w:p>
    <w:p>
      <w:pPr>
        <w:spacing w:after="160" w:before="280"/>
      </w:pPr>
      <w:r>
        <w:rPr>
          <w:rFonts w:ascii="Times New Roman" w:cs="Times New Roman" w:eastAsia="Times New Roman" w:hAnsi="Times New Roman"/>
          <w:b/>
          <w:bCs/>
          <w:sz w:val="22"/>
          <w:szCs w:val="22"/>
        </w:rPr>
        <w:t xml:space="preserve">The current treatment</w:t>
      </w:r>
    </w:p>
    <w:p>
      <w:pPr>
        <w:spacing w:after="160" w:line="276"/>
      </w:pPr>
      <w:r>
        <w:rPr>
          <w:rFonts w:ascii="Times New Roman" w:cs="Times New Roman" w:eastAsia="Times New Roman" w:hAnsi="Times New Roman"/>
          <w:sz w:val="22"/>
          <w:szCs w:val="22"/>
        </w:rPr>
        <w:t xml:space="preserve">Connecticut towns receive an annual Education Cost Sharing grant from the state. For FY 2026-27 the Andover grant is $2,084,974. The grant is calculated using student counts, district enrollment, and local property wealth. It exists because Andover operates a school district and sends students to a regional secondary school district. The state pays the grant to the town, and under state law the town has discretion in how to account for it. There is no statutory requirement that ECS be credited to the education side of the budget.</w:t>
      </w:r>
    </w:p>
    <w:p>
      <w:pPr>
        <w:spacing w:after="160" w:line="276"/>
      </w:pPr>
      <w:r>
        <w:rPr>
          <w:rFonts w:ascii="Times New Roman" w:cs="Times New Roman" w:eastAsia="Times New Roman" w:hAnsi="Times New Roman"/>
          <w:sz w:val="22"/>
          <w:szCs w:val="22"/>
        </w:rPr>
        <w:t xml:space="preserve">Andover’s current practice records the full ECS grant as general town revenue, a single line among the town’s intergovernmental revenues. The Andover Elementary School appropriation of $4,839,390 and the RHAM levy of $4,121,131, as adopted for FY 2026-27, appear in the budget documents at their gross figures, with no visible offset from the state revenue that the schools themselves generated. The grant reduces the amount to be raised by taxes, but nothing in the documents connects it to either school appropriation.</w:t>
      </w:r>
    </w:p>
    <w:p>
      <w:pPr>
        <w:spacing w:after="160" w:line="276"/>
      </w:pPr>
      <w:r>
        <w:rPr>
          <w:rFonts w:ascii="Times New Roman" w:cs="Times New Roman" w:eastAsia="Times New Roman" w:hAnsi="Times New Roman"/>
          <w:sz w:val="22"/>
          <w:szCs w:val="22"/>
        </w:rPr>
        <w:t xml:space="preserve">This is not unique to Andover. The Town Manager’s budget message for Hebron in the FY 2026-27 cycle treats ECS the same way, as undifferentiated town revenue, without explicit allocation to either of Hebron’s two school appropriations. Marlborough appears to follow a similar practice. The prevailing practice across small towns with bifurcated budgets is, as a practical matter, that ECS is not visibly allocated at all.</w:t>
      </w:r>
    </w:p>
    <w:p>
      <w:pPr>
        <w:spacing w:after="160" w:line="276"/>
      </w:pPr>
      <w:r>
        <w:rPr>
          <w:rFonts w:ascii="Times New Roman" w:cs="Times New Roman" w:eastAsia="Times New Roman" w:hAnsi="Times New Roman"/>
          <w:sz w:val="22"/>
          <w:szCs w:val="22"/>
        </w:rPr>
        <w:t xml:space="preserve">This is the practice I am asking the Board to reconsider.</w:t>
      </w:r>
    </w:p>
    <w:p>
      <w:pPr>
        <w:spacing w:after="160" w:before="280"/>
      </w:pPr>
      <w:r>
        <w:rPr>
          <w:rFonts w:ascii="Times New Roman" w:cs="Times New Roman" w:eastAsia="Times New Roman" w:hAnsi="Times New Roman"/>
          <w:b/>
          <w:bCs/>
          <w:sz w:val="22"/>
          <w:szCs w:val="22"/>
        </w:rPr>
        <w:t xml:space="preserve">Why the current treatment is a problem</w:t>
      </w:r>
    </w:p>
    <w:p>
      <w:pPr>
        <w:spacing w:after="160" w:line="276"/>
      </w:pPr>
      <w:r>
        <w:rPr>
          <w:rFonts w:ascii="Times New Roman" w:cs="Times New Roman" w:eastAsia="Times New Roman" w:hAnsi="Times New Roman"/>
          <w:sz w:val="22"/>
          <w:szCs w:val="22"/>
        </w:rPr>
        <w:t xml:space="preserve">The 2022 charter amendment that bifurcated the Andover budget did so to give voters greater granular control over each spending category. Voters now approve or reject the town-side budget, the AES budget, and the RHAM levy separately. The premise of bifurcation is that voters should be able to see and decide on each part on its own terms.</w:t>
      </w:r>
    </w:p>
    <w:p>
      <w:pPr>
        <w:spacing w:after="160" w:line="276"/>
      </w:pPr>
      <w:r>
        <w:rPr>
          <w:rFonts w:ascii="Times New Roman" w:cs="Times New Roman" w:eastAsia="Times New Roman" w:hAnsi="Times New Roman"/>
          <w:sz w:val="22"/>
          <w:szCs w:val="22"/>
        </w:rPr>
        <w:t xml:space="preserve">The current ECS treatment is in tension with that premise. The schools generate $2.08 million in state revenue, none of which is visible on the education side of the budget. A voter looking at the AES appropriation sees a $4.84 million gross figure. A voter looking at the RHAM levy sees a $4.12 million gross figure. The ECS grant that those two school systems generate appears elsewhere, pooled into general town revenue, where nothing connects it to either appropriation.</w:t>
      </w:r>
    </w:p>
    <w:p>
      <w:pPr>
        <w:spacing w:after="160" w:line="276"/>
      </w:pPr>
      <w:r>
        <w:rPr>
          <w:rFonts w:ascii="Times New Roman" w:cs="Times New Roman" w:eastAsia="Times New Roman" w:hAnsi="Times New Roman"/>
          <w:sz w:val="22"/>
          <w:szCs w:val="22"/>
        </w:rPr>
        <w:t xml:space="preserve">A voter who wants to evaluate whether the schools are funded at an appropriate level cannot do so from the budget documents alone. The gross figures overstate the local burden the schools impose, because they exclude the state contribution that the schools themselves cause to exist. Meanwhile the $2.08 million reduction that ECS produces in the amount to be raised by taxes is attributed to nothing in particular. It is simply absorbed.</w:t>
      </w:r>
    </w:p>
    <w:p>
      <w:pPr>
        <w:spacing w:after="160" w:line="276"/>
      </w:pPr>
      <w:r>
        <w:rPr>
          <w:rFonts w:ascii="Times New Roman" w:cs="Times New Roman" w:eastAsia="Times New Roman" w:hAnsi="Times New Roman"/>
          <w:sz w:val="22"/>
          <w:szCs w:val="22"/>
        </w:rPr>
        <w:t xml:space="preserve">When East Hampton’s Town Council allocated most of a $700,000 ECS grant to reduce general taxes in 2018, education advocates argued that the grant should be applied visibly to the school side. The Finance Director’s defense was that the ECS money had in fact been allocated to education, because the education appropriation was met through a combination of state aid and local taxes. That defense is technically accurate. But it concedes the point: if ECS has been allocated to education, that allocation should appear in the documents voters review, not in a verbal reconstruction the Finance Director can produce after the fact.</w:t>
      </w:r>
    </w:p>
    <w:p>
      <w:pPr>
        <w:spacing w:after="160" w:line="276"/>
      </w:pPr>
      <w:r>
        <w:rPr>
          <w:rFonts w:ascii="Times New Roman" w:cs="Times New Roman" w:eastAsia="Times New Roman" w:hAnsi="Times New Roman"/>
          <w:sz w:val="22"/>
          <w:szCs w:val="22"/>
        </w:rPr>
        <w:t xml:space="preserve">Transparency on this point is not a partisan question. The cost of providing it is a few additional lines in the budget book. The benefit is that voters who want to understand what they are voting on can do so from the documents alone.</w:t>
      </w:r>
    </w:p>
    <w:p>
      <w:pPr>
        <w:spacing w:after="160" w:before="280"/>
      </w:pPr>
      <w:r>
        <w:rPr>
          <w:rFonts w:ascii="Times New Roman" w:cs="Times New Roman" w:eastAsia="Times New Roman" w:hAnsi="Times New Roman"/>
          <w:b/>
          <w:bCs/>
          <w:sz w:val="22"/>
          <w:szCs w:val="22"/>
        </w:rPr>
        <w:t xml:space="preserve">The proposed methodology</w:t>
      </w:r>
    </w:p>
    <w:p>
      <w:pPr>
        <w:spacing w:after="160" w:line="276"/>
      </w:pPr>
      <w:r>
        <w:rPr>
          <w:rFonts w:ascii="Times New Roman" w:cs="Times New Roman" w:eastAsia="Times New Roman" w:hAnsi="Times New Roman"/>
          <w:sz w:val="22"/>
          <w:szCs w:val="22"/>
        </w:rPr>
        <w:t xml:space="preserve">Several allocation methodologies are defensible. The one I recommend, and the one I believe holds up best to scrutiny, is allocation in proportion to the two local school budgets.</w:t>
      </w:r>
    </w:p>
    <w:p>
      <w:pPr>
        <w:spacing w:after="160" w:line="276"/>
      </w:pPr>
      <w:r>
        <w:rPr>
          <w:rFonts w:ascii="Times New Roman" w:cs="Times New Roman" w:eastAsia="Times New Roman" w:hAnsi="Times New Roman"/>
          <w:sz w:val="22"/>
          <w:szCs w:val="22"/>
        </w:rPr>
        <w:t xml:space="preserve">Under this methodology, each year’s ECS grant would be split between AES and the Andover RHAM levy in the same proportions as those two appropriations bore to one another in the prior fiscal year, as adopted. Using the prior year’s adopted figures rather than the current year’s proposed figures means the proportions are final before the budget season opens, and gross adopted figures avoid distortion from any one-time credits or corrections that may pass through a given year’s accounts.</w:t>
      </w:r>
    </w:p>
    <w:p>
      <w:pPr>
        <w:spacing w:after="160" w:line="276"/>
      </w:pPr>
      <w:r>
        <w:rPr>
          <w:rFonts w:ascii="Times New Roman" w:cs="Times New Roman" w:eastAsia="Times New Roman" w:hAnsi="Times New Roman"/>
          <w:sz w:val="22"/>
          <w:szCs w:val="22"/>
        </w:rPr>
        <w:t xml:space="preserve">For the FY 2027-28 cycle, the operative figures would be the adopted FY 2026-27 appropriations: AES at $4,839,390 and the Andover RHAM assessment at $4,121,131, a combined school side of $8,960,521. AES is 54.0 percent of that total; RHAM is 46.0 percent. Applied to an ECS grant at this year’s level of $2,084,974, the allocation would be $1,126,051 to AES and $958,923 to RHAM; the actual dollar figures would follow the FY 2027-28 grant when the state publishes it.</w:t>
      </w:r>
    </w:p>
    <w:p>
      <w:pPr>
        <w:spacing w:after="160" w:line="276"/>
      </w:pPr>
      <w:r>
        <w:rPr>
          <w:rFonts w:ascii="Times New Roman" w:cs="Times New Roman" w:eastAsia="Times New Roman" w:hAnsi="Times New Roman"/>
          <w:sz w:val="22"/>
          <w:szCs w:val="22"/>
        </w:rPr>
        <w:t xml:space="preserve">The advantages of this methodology over alternatives:</w:t>
      </w:r>
    </w:p>
    <w:p>
      <w:pPr>
        <w:spacing w:after="160" w:line="276"/>
      </w:pPr>
      <w:r>
        <w:rPr>
          <w:rFonts w:ascii="Times New Roman" w:cs="Times New Roman" w:eastAsia="Times New Roman" w:hAnsi="Times New Roman"/>
          <w:sz w:val="22"/>
          <w:szCs w:val="22"/>
        </w:rPr>
        <w:t xml:space="preserve">It tracks the actual local burden of each school appropriation. ECS is, in substance, state support to reduce the local tax burden of operating schools. Allocating it in proportion to the most recent adopted measure of those burdens is mathematically self-justifying.</w:t>
      </w:r>
    </w:p>
    <w:p>
      <w:pPr>
        <w:spacing w:after="160" w:line="276"/>
      </w:pPr>
      <w:r>
        <w:rPr>
          <w:rFonts w:ascii="Times New Roman" w:cs="Times New Roman" w:eastAsia="Times New Roman" w:hAnsi="Times New Roman"/>
          <w:sz w:val="22"/>
          <w:szCs w:val="22"/>
        </w:rPr>
        <w:t xml:space="preserve">It avoids contested per-pupil questions. A pupil-count allocation would require resolving whether to count preschoolers, whether to weight elementary and secondary students differently to reflect their differing per-pupil costs, and how to handle outplaced students. Each of those questions is a separate argument. A budget-proportional split sidesteps all of them.</w:t>
      </w:r>
    </w:p>
    <w:p>
      <w:pPr>
        <w:spacing w:after="160" w:line="276"/>
      </w:pPr>
      <w:r>
        <w:rPr>
          <w:rFonts w:ascii="Times New Roman" w:cs="Times New Roman" w:eastAsia="Times New Roman" w:hAnsi="Times New Roman"/>
          <w:sz w:val="22"/>
          <w:szCs w:val="22"/>
        </w:rPr>
        <w:t xml:space="preserve">It is automatically self-adjusting. As the two school appropriations move year to year, the proportions follow, one year behind, without requiring the Board to revisit the methodology. The Board makes the choice once; the arithmetic carries it forward.</w:t>
      </w:r>
    </w:p>
    <w:p>
      <w:pPr>
        <w:spacing w:after="160" w:line="276"/>
      </w:pPr>
      <w:r>
        <w:rPr>
          <w:rFonts w:ascii="Times New Roman" w:cs="Times New Roman" w:eastAsia="Times New Roman" w:hAnsi="Times New Roman"/>
          <w:sz w:val="22"/>
          <w:szCs w:val="22"/>
        </w:rPr>
        <w:t xml:space="preserve">It is settled before the season opens. Because the proportions come from the prior year’s adopted budgets, each side’s ECS allocation is a fixed dollar amount from the day the state publishes the grant. It does not move when a proposed budget is revised between referendums. If one budget passes while the other is still being revised, the passed budget’s presentation is final, offset included, and the other side’s offset is unaffected by the revisions. A current-year split would lack this property: a cut to one school budget would shift ECS dollars toward the other, changing a number voters see for reasons unrelated to that budget.</w:t>
      </w:r>
    </w:p>
    <w:p>
      <w:pPr>
        <w:spacing w:after="160" w:line="276"/>
      </w:pPr>
      <w:r>
        <w:rPr>
          <w:rFonts w:ascii="Times New Roman" w:cs="Times New Roman" w:eastAsia="Times New Roman" w:hAnsi="Times New Roman"/>
          <w:sz w:val="22"/>
          <w:szCs w:val="22"/>
        </w:rPr>
        <w:t xml:space="preserve">It does not depend on any contested figure. Prior-year adopted AES and RHAM appropriations are published, audited, and final before the budget season begins. The proportions are simple division.</w:t>
      </w:r>
    </w:p>
    <w:p>
      <w:pPr>
        <w:spacing w:after="160" w:line="276"/>
      </w:pPr>
      <w:r>
        <w:rPr>
          <w:rFonts w:ascii="Times New Roman" w:cs="Times New Roman" w:eastAsia="Times New Roman" w:hAnsi="Times New Roman"/>
          <w:sz w:val="22"/>
          <w:szCs w:val="22"/>
        </w:rPr>
        <w:t xml:space="preserve">The cost of the trailing-year approach is that the proportions lag reality by one year. In recent cycles the AES/RHAM split has moved by only a point or two per year, well within the tolerance of what is an allocation convention rather than a measurement. I consider the lag a fair price for proportions that are final, auditable, and immune to mid-season revision.</w:t>
      </w:r>
    </w:p>
    <w:p>
      <w:pPr>
        <w:spacing w:after="160" w:line="276"/>
      </w:pPr>
      <w:r>
        <w:rPr>
          <w:rFonts w:ascii="Times New Roman" w:cs="Times New Roman" w:eastAsia="Times New Roman" w:hAnsi="Times New Roman"/>
          <w:sz w:val="22"/>
          <w:szCs w:val="22"/>
        </w:rPr>
        <w:t xml:space="preserve">I do not believe this methodology is uniquely correct, and I would not object to the Board adopting an alternative methodology if the Board judged another approach to be more equitable. The substantive request is for explicit, visible allocation. The methodology is a means to that end.</w:t>
      </w:r>
    </w:p>
    <w:p>
      <w:pPr>
        <w:spacing w:after="160" w:before="280"/>
      </w:pPr>
      <w:r>
        <w:rPr>
          <w:rFonts w:ascii="Times New Roman" w:cs="Times New Roman" w:eastAsia="Times New Roman" w:hAnsi="Times New Roman"/>
          <w:b/>
          <w:bCs/>
          <w:sz w:val="22"/>
          <w:szCs w:val="22"/>
        </w:rPr>
        <w:t xml:space="preserve">What this proposal does and does not change</w:t>
      </w:r>
    </w:p>
    <w:p>
      <w:pPr>
        <w:spacing w:after="160" w:line="276"/>
      </w:pPr>
      <w:r>
        <w:rPr>
          <w:rFonts w:ascii="Times New Roman" w:cs="Times New Roman" w:eastAsia="Times New Roman" w:hAnsi="Times New Roman"/>
          <w:sz w:val="22"/>
          <w:szCs w:val="22"/>
        </w:rPr>
        <w:t xml:space="preserve">The proposed change does not increase or decrease total town spending. The sum of the three appropriations after explicit ECS allocation is identical to the sum before. The mill rate is unaffected.</w:t>
      </w:r>
    </w:p>
    <w:p>
      <w:pPr>
        <w:spacing w:after="160" w:line="276"/>
      </w:pPr>
      <w:r>
        <w:rPr>
          <w:rFonts w:ascii="Times New Roman" w:cs="Times New Roman" w:eastAsia="Times New Roman" w:hAnsi="Times New Roman"/>
          <w:sz w:val="22"/>
          <w:szCs w:val="22"/>
        </w:rPr>
        <w:t xml:space="preserve">The proposed change does not bind future Boards to any particular allocation method. The Board of Finance retains full discretion in each future budget cycle.</w:t>
      </w:r>
    </w:p>
    <w:p>
      <w:pPr>
        <w:spacing w:after="160" w:line="276"/>
      </w:pPr>
      <w:r>
        <w:rPr>
          <w:rFonts w:ascii="Times New Roman" w:cs="Times New Roman" w:eastAsia="Times New Roman" w:hAnsi="Times New Roman"/>
          <w:sz w:val="22"/>
          <w:szCs w:val="22"/>
        </w:rPr>
        <w:t xml:space="preserve">The proposed change does not affect the legal restrictions on ECS use. ECS remains legally unrestricted, available for any town purpose. What changes is the presentation: voters see, on the documents they review, how the Board has chosen to apply that unrestricted revenue.</w:t>
      </w:r>
    </w:p>
    <w:p>
      <w:pPr>
        <w:spacing w:after="160" w:line="276"/>
      </w:pPr>
      <w:r>
        <w:rPr>
          <w:rFonts w:ascii="Times New Roman" w:cs="Times New Roman" w:eastAsia="Times New Roman" w:hAnsi="Times New Roman"/>
          <w:sz w:val="22"/>
          <w:szCs w:val="22"/>
        </w:rPr>
        <w:t xml:space="preserve">The proposed change does not affect the relationship between the town and the schools as separate budgetary entities. AES will continue to operate its own budget process, present its own appropriation, and stand or fall at referendum on its own merits. RHAM will continue to set the regional levy by its own process. The Board of Finance’s responsibility for approving the town’s overall budget is unchanged.</w:t>
      </w:r>
    </w:p>
    <w:p>
      <w:pPr>
        <w:spacing w:after="160" w:before="280"/>
      </w:pPr>
      <w:r>
        <w:rPr>
          <w:rFonts w:ascii="Times New Roman" w:cs="Times New Roman" w:eastAsia="Times New Roman" w:hAnsi="Times New Roman"/>
          <w:b/>
          <w:bCs/>
          <w:sz w:val="22"/>
          <w:szCs w:val="22"/>
        </w:rPr>
        <w:t xml:space="preserve">Anticipated objections</w:t>
      </w:r>
    </w:p>
    <w:p>
      <w:pPr>
        <w:spacing w:after="160" w:line="276"/>
      </w:pPr>
      <w:r>
        <w:rPr>
          <w:rFonts w:ascii="Times New Roman" w:cs="Times New Roman" w:eastAsia="Times New Roman" w:hAnsi="Times New Roman"/>
          <w:sz w:val="22"/>
          <w:szCs w:val="22"/>
        </w:rPr>
        <w:t xml:space="preserve">I have considered the objections most likely to be raised and offer brief responses.</w:t>
      </w:r>
    </w:p>
    <w:p>
      <w:pPr>
        <w:spacing w:after="160" w:line="276"/>
      </w:pPr>
      <w:r>
        <w:rPr>
          <w:rFonts w:ascii="Times New Roman" w:cs="Times New Roman" w:eastAsia="Times New Roman" w:hAnsi="Times New Roman"/>
          <w:b/>
          <w:bCs/>
          <w:sz w:val="22"/>
          <w:szCs w:val="22"/>
        </w:rPr>
        <w:t xml:space="preserve">“This is bookkeeping. The total tax bill is identical.”</w:t>
      </w:r>
      <w:r>
        <w:rPr>
          <w:rFonts w:ascii="Times New Roman" w:cs="Times New Roman" w:eastAsia="Times New Roman" w:hAnsi="Times New Roman"/>
          <w:sz w:val="22"/>
          <w:szCs w:val="22"/>
        </w:rPr>
        <w:t xml:space="preserve"> Yes. The proposal is precisely a question of presentation, not of spending. The argument that presentation does not matter is also the argument that adopting a clearer presentation costs nothing. If the current treatment and the proposed treatment are economically equivalent, the Board should choose the one that lets voters understand what they are voting on.</w:t>
      </w:r>
    </w:p>
    <w:p>
      <w:pPr>
        <w:spacing w:after="160" w:line="276"/>
      </w:pPr>
      <w:r>
        <w:rPr>
          <w:rFonts w:ascii="Times New Roman" w:cs="Times New Roman" w:eastAsia="Times New Roman" w:hAnsi="Times New Roman"/>
          <w:b/>
          <w:bCs/>
          <w:sz w:val="22"/>
          <w:szCs w:val="22"/>
        </w:rPr>
        <w:t xml:space="preserve">“State law allows discretion in how to credit ECS.”</w:t>
      </w:r>
      <w:r>
        <w:rPr>
          <w:rFonts w:ascii="Times New Roman" w:cs="Times New Roman" w:eastAsia="Times New Roman" w:hAnsi="Times New Roman"/>
          <w:sz w:val="22"/>
          <w:szCs w:val="22"/>
        </w:rPr>
        <w:t xml:space="preserve"> Yes. The discretion is the basis of this request. The Board is being asked to exercise that discretion in favor of transparency.</w:t>
      </w:r>
    </w:p>
    <w:p>
      <w:pPr>
        <w:spacing w:after="160" w:line="276"/>
      </w:pPr>
      <w:r>
        <w:rPr>
          <w:rFonts w:ascii="Times New Roman" w:cs="Times New Roman" w:eastAsia="Times New Roman" w:hAnsi="Times New Roman"/>
          <w:b/>
          <w:bCs/>
          <w:sz w:val="22"/>
          <w:szCs w:val="22"/>
        </w:rPr>
        <w:t xml:space="preserve">“If ECS funding falls, the schools will bear the loss directly.”</w:t>
      </w:r>
      <w:r>
        <w:rPr>
          <w:rFonts w:ascii="Times New Roman" w:cs="Times New Roman" w:eastAsia="Times New Roman" w:hAnsi="Times New Roman"/>
          <w:sz w:val="22"/>
          <w:szCs w:val="22"/>
        </w:rPr>
        <w:t xml:space="preserve"> Under the proposal, the schools’ appropriations would continue to be set by the schools’ actual budgets, as they are now. The ECS allocation would offset those appropriations on the documents voters review. If ECS falls, the documents would show that fall transparently rather than absorbing it into generic mill-rate pressure. I consider this a benefit of the proposed treatment, not a cost.</w:t>
      </w:r>
    </w:p>
    <w:p>
      <w:pPr>
        <w:spacing w:after="160" w:line="276"/>
      </w:pPr>
      <w:r>
        <w:rPr>
          <w:rFonts w:ascii="Times New Roman" w:cs="Times New Roman" w:eastAsia="Times New Roman" w:hAnsi="Times New Roman"/>
          <w:b/>
          <w:bCs/>
          <w:sz w:val="22"/>
          <w:szCs w:val="22"/>
        </w:rPr>
        <w:t xml:space="preserve">“A per-pupil allocation would be fairer.”</w:t>
      </w:r>
      <w:r>
        <w:rPr>
          <w:rFonts w:ascii="Times New Roman" w:cs="Times New Roman" w:eastAsia="Times New Roman" w:hAnsi="Times New Roman"/>
          <w:sz w:val="22"/>
          <w:szCs w:val="22"/>
        </w:rPr>
        <w:t xml:space="preserve"> Perhaps. A pupil-count allocation requires resolving whether to count preschoolers, how to weight elementary against secondary students, and how to treat outplaced students. Reasonable people can disagree on each of those questions. If the Board prefers a per-pupil methodology and can settle them, I would regard that as fully responsive to this request. The substantive ask is explicit allocation, not any particular formula.</w:t>
      </w:r>
    </w:p>
    <w:p>
      <w:pPr>
        <w:spacing w:after="160" w:line="276"/>
      </w:pPr>
      <w:r>
        <w:rPr>
          <w:rFonts w:ascii="Times New Roman" w:cs="Times New Roman" w:eastAsia="Times New Roman" w:hAnsi="Times New Roman"/>
          <w:b/>
          <w:bCs/>
          <w:sz w:val="22"/>
          <w:szCs w:val="22"/>
        </w:rPr>
        <w:t xml:space="preserve">“Netting the school side but not the town side is one-sided.”</w:t>
      </w:r>
      <w:r>
        <w:rPr>
          <w:rFonts w:ascii="Times New Roman" w:cs="Times New Roman" w:eastAsia="Times New Roman" w:hAnsi="Times New Roman"/>
          <w:sz w:val="22"/>
          <w:szCs w:val="22"/>
        </w:rPr>
        <w:t xml:space="preserve"> A fully consistent version of this proposal would present every appropriation net of the non-tax revenues attributable to it: the schools net of ECS, and the town side net of its fees, state aid, and investment interest. I would welcome that presentation and would be glad to supply a worked example. For FY 2026-27 it would reduce the town side by roughly $467,000 and the school side by $2.08 million, with the total local tax burden identical either way.</w:t>
      </w:r>
    </w:p>
    <w:p>
      <w:pPr>
        <w:spacing w:after="160" w:line="276"/>
      </w:pPr>
      <w:r>
        <w:rPr>
          <w:rFonts w:ascii="Times New Roman" w:cs="Times New Roman" w:eastAsia="Times New Roman" w:hAnsi="Times New Roman"/>
          <w:b/>
          <w:bCs/>
          <w:sz w:val="22"/>
          <w:szCs w:val="22"/>
        </w:rPr>
        <w:t xml:space="preserve">“Other towns do not do this.”</w:t>
      </w:r>
      <w:r>
        <w:rPr>
          <w:rFonts w:ascii="Times New Roman" w:cs="Times New Roman" w:eastAsia="Times New Roman" w:hAnsi="Times New Roman"/>
          <w:sz w:val="22"/>
          <w:szCs w:val="22"/>
        </w:rPr>
        <w:t xml:space="preserve"> Practice across Connecticut is mixed. Some towns explicitly net ECS against the school side; some explicitly keep it on the town side; most, like Andover, do not address the allocation in the budget documents at all. There is no statewide convention. Andover is in a position to be more transparent than the average, not less.</w:t>
      </w:r>
    </w:p>
    <w:p>
      <w:pPr>
        <w:spacing w:after="160" w:before="280"/>
      </w:pPr>
      <w:r>
        <w:rPr>
          <w:rFonts w:ascii="Times New Roman" w:cs="Times New Roman" w:eastAsia="Times New Roman" w:hAnsi="Times New Roman"/>
          <w:b/>
          <w:bCs/>
          <w:sz w:val="22"/>
          <w:szCs w:val="22"/>
        </w:rPr>
        <w:t xml:space="preserve">Request</w:t>
      </w:r>
    </w:p>
    <w:p>
      <w:pPr>
        <w:spacing w:after="160" w:line="276"/>
      </w:pPr>
      <w:r>
        <w:rPr>
          <w:rFonts w:ascii="Times New Roman" w:cs="Times New Roman" w:eastAsia="Times New Roman" w:hAnsi="Times New Roman"/>
          <w:sz w:val="22"/>
          <w:szCs w:val="22"/>
        </w:rPr>
        <w:t xml:space="preserve">I respectfully ask the Board of Finance to:</w:t>
      </w:r>
    </w:p>
    <w:p>
      <w:pPr>
        <w:pStyle w:val="ListParagraph"/>
        <w:numPr>
          <w:ilvl w:val="0"/>
          <w:numId w:val="2"/>
        </w:numPr>
        <w:spacing w:after="160" w:line="276"/>
      </w:pPr>
      <w:r>
        <w:rPr>
          <w:rFonts w:ascii="Times New Roman" w:cs="Times New Roman" w:eastAsia="Times New Roman" w:hAnsi="Times New Roman"/>
          <w:sz w:val="22"/>
          <w:szCs w:val="22"/>
        </w:rPr>
        <w:t xml:space="preserve">Place on the agenda for an upcoming meeting a discussion of ECS allocation practice in the FY 2027-28 budget cycle.</w:t>
      </w:r>
    </w:p>
    <w:p>
      <w:pPr>
        <w:pStyle w:val="ListParagraph"/>
        <w:numPr>
          <w:ilvl w:val="0"/>
          <w:numId w:val="2"/>
        </w:numPr>
        <w:spacing w:after="160" w:line="276"/>
      </w:pPr>
      <w:r>
        <w:rPr>
          <w:rFonts w:ascii="Times New Roman" w:cs="Times New Roman" w:eastAsia="Times New Roman" w:hAnsi="Times New Roman"/>
          <w:sz w:val="22"/>
          <w:szCs w:val="22"/>
        </w:rPr>
        <w:t xml:space="preserve">Consider adopting explicit allocation of the ECS grant between AES and the Andover RHAM levy, in proportion to those two appropriations as adopted for the prior fiscal year, with the resulting allocation reflected on the face of the budget documents presented to voters.</w:t>
      </w:r>
    </w:p>
    <w:p>
      <w:pPr>
        <w:pStyle w:val="ListParagraph"/>
        <w:numPr>
          <w:ilvl w:val="0"/>
          <w:numId w:val="2"/>
        </w:numPr>
        <w:spacing w:after="240" w:line="276"/>
      </w:pPr>
      <w:r>
        <w:rPr>
          <w:rFonts w:ascii="Times New Roman" w:cs="Times New Roman" w:eastAsia="Times New Roman" w:hAnsi="Times New Roman"/>
          <w:sz w:val="22"/>
          <w:szCs w:val="22"/>
        </w:rPr>
        <w:t xml:space="preserve">If the Board prefers a different allocation methodology, consider adopting an explicit allocation under that alternative methodology rather than the current undifferentiated treatment.</w:t>
      </w:r>
    </w:p>
    <w:p>
      <w:pPr>
        <w:spacing w:after="160" w:line="276"/>
      </w:pPr>
      <w:r>
        <w:rPr>
          <w:rFonts w:ascii="Times New Roman" w:cs="Times New Roman" w:eastAsia="Times New Roman" w:hAnsi="Times New Roman"/>
          <w:sz w:val="22"/>
          <w:szCs w:val="22"/>
        </w:rPr>
        <w:t xml:space="preserve">I would be glad to discuss this proposal with the Board, individually or collectively, at any time. If you would like, I can present this in about five minutes at a BOF meeting. I can also provide additional analysis, including a comparison table showing the dollar allocations that result from several different methodologies, if useful to the Board’s consideration.</w:t>
      </w:r>
    </w:p>
    <w:p>
      <w:pPr>
        <w:spacing w:after="160" w:line="276"/>
      </w:pPr>
      <w:r>
        <w:rPr>
          <w:rFonts w:ascii="Times New Roman" w:cs="Times New Roman" w:eastAsia="Times New Roman" w:hAnsi="Times New Roman"/>
          <w:sz w:val="22"/>
          <w:szCs w:val="22"/>
        </w:rPr>
        <w:t xml:space="preserve">Thank you for your work on the town’s finances and for your attention to this question.</w:t>
      </w:r>
    </w:p>
    <w:p>
      <w:pPr>
        <w:spacing w:after="480" w:line="276"/>
      </w:pPr>
      <w:r>
        <w:rPr>
          <w:rFonts w:ascii="Times New Roman" w:cs="Times New Roman" w:eastAsia="Times New Roman" w:hAnsi="Times New Roman"/>
          <w:sz w:val="22"/>
          <w:szCs w:val="22"/>
        </w:rPr>
        <w:t xml:space="preserve">Respectfully,</w:t>
      </w:r>
    </w:p>
    <w:p>
      <w:pPr>
        <w:spacing w:after="0" w:line="276"/>
      </w:pPr>
      <w:r>
        <w:rPr>
          <w:rFonts w:ascii="Times New Roman" w:cs="Times New Roman" w:eastAsia="Times New Roman" w:hAnsi="Times New Roman"/>
          <w:sz w:val="22"/>
          <w:szCs w:val="22"/>
        </w:rPr>
        <w:t xml:space="preserve">Scott Sauyet</w:t>
      </w:r>
    </w:p>
    <w:p>
      <w:pPr>
        <w:spacing w:after="240" w:line="276"/>
      </w:pPr>
      <w:r>
        <w:rPr>
          <w:rFonts w:ascii="Times New Roman" w:cs="Times New Roman" w:eastAsia="Times New Roman" w:hAnsi="Times New Roman"/>
          <w:sz w:val="22"/>
          <w:szCs w:val="22"/>
        </w:rPr>
        <w:t xml:space="preserve">Andover, CT</w:t>
      </w:r>
    </w:p>
    <w:p>
      <w:pPr>
        <w:spacing w:after="0" w:line="276"/>
      </w:pPr>
      <w:r>
        <w:rPr>
          <w:rFonts w:ascii="Times New Roman" w:cs="Times New Roman" w:eastAsia="Times New Roman" w:hAnsi="Times New Roman"/>
          <w:sz w:val="22"/>
          <w:szCs w:val="22"/>
        </w:rPr>
        <w:t xml:space="preserve">cc: Matt Streeter, Town Administrator</w:t>
      </w:r>
    </w:p>
    <w:p>
      <w:pPr>
        <w:spacing w:after="0" w:line="276"/>
      </w:pPr>
      <w:r>
        <w:rPr>
          <w:rFonts w:ascii="Times New Roman" w:cs="Times New Roman" w:eastAsia="Times New Roman" w:hAnsi="Times New Roman"/>
          <w:sz w:val="22"/>
          <w:szCs w:val="22"/>
        </w:rPr>
        <w:t xml:space="preserve">  Caitlin Greenhouse, chair, Andover Board of Education</w:t>
      </w:r>
    </w:p>
    <w:p>
      <w:pPr>
        <w:spacing w:after="0" w:line="276"/>
      </w:pPr>
      <w:r>
        <w:rPr>
          <w:rFonts w:ascii="Times New Roman" w:cs="Times New Roman" w:eastAsia="Times New Roman" w:hAnsi="Times New Roman"/>
          <w:sz w:val="22"/>
          <w:szCs w:val="22"/>
        </w:rPr>
        <w:t xml:space="preserve">  Heather Summerer, chair, RHAM Board of Education</w:t>
      </w:r>
    </w:p>
    <w:p>
      <w:pPr>
        <w:spacing w:after="0" w:line="276"/>
      </w:pPr>
      <w:r>
        <w:rPr>
          <w:rFonts w:ascii="Times New Roman" w:cs="Times New Roman" w:eastAsia="Times New Roman" w:hAnsi="Times New Roman"/>
          <w:sz w:val="22"/>
          <w:szCs w:val="22"/>
        </w:rPr>
        <w:t xml:space="preserve">  Board of Selectmen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4" w:hanging="504"/>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2026-07-19T16:23:04.307Z</dcterms:created>
  <dcterms:modified xsi:type="dcterms:W3CDTF">2026-07-19T16:23:04.318Z</dcterms:modified>
</cp:coreProperties>
</file>

<file path=docProps/custom.xml><?xml version="1.0" encoding="utf-8"?>
<Properties xmlns="http://schemas.openxmlformats.org/officeDocument/2006/custom-properties" xmlns:vt="http://schemas.openxmlformats.org/officeDocument/2006/docPropsVTypes"/>
</file>