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February </w:t>
      </w:r>
      <w:r>
        <w:rPr>
          <w:rFonts w:eastAsia="Times New Roman" w:cs="Times New Roman"/>
          <w:color w:val="auto"/>
          <w:kern w:val="0"/>
          <w:sz w:val="24"/>
          <w:szCs w:val="24"/>
          <w:lang w:val="en-US" w:eastAsia="zh-CN" w:bidi="ar-SA"/>
        </w:rPr>
        <w:t>21</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Here's a little challenge to Rivereast readers.  Watch the New York Times video, Day of Rage (https://nyti.ms/34VsZ3p) about Jan. 6, then reread Sam Prentice's description of the events as "little more than a disruption at the Golden Corral."   OK, done?  Now I ask you, is it the people decrying these events or Mr. Prentice who seems a "hypocritical fraud"?  Yes, I thought so.  The video consists entirely of footage from that event.  His letter consists entirely of nonsense from right-wing websites.</w:t>
        <w:br/>
        <w:br/>
        <w:t>He discusses two of the five deaths, includes lies from a doctored video (https://link.sauyet.com/43), and proposes some obscure point about racism.  He repeats debunked lies about Kamala Harris (https://link.sauyet.com/44), and then draws ridiculous parallels with the George Floyd protests outside the White House.  (I wonder why he worries about the bunker when Donald Trump said it was only an inspection tour?)  I'd love to see his proof that perpetrators are being held without hearings; a few accused of violence against police are being held without bail, but that's very different.</w:t>
        <w:br/>
        <w:br/>
        <w:t>We can find these claims on right-wing sites.  Echoing them back without any skeptical investigation is, at the very best, intellectual laziness; but I wouldn't rule out more nefarious interpretations.</w:t>
        <w:br/>
        <w:br/>
        <w:t xml:space="preserve">And let's not forget Ed Kozlowski.  If he doesn't want to read Rauch's </w:t>
      </w:r>
      <w:r>
        <w:rPr>
          <w:i/>
          <w:iCs/>
        </w:rPr>
        <w:t>The Constitution of Knowledge</w:t>
      </w:r>
      <w:r>
        <w:rPr/>
        <w:t xml:space="preserve">, which challenged some of my ideas and might challenge some of his, that's fine.  Him, I didn't expect to bother trying to learn something.  Others might find it worthwhile, though.  His remaining letter is poppycock.  If he thinks he's attacking progressives by attacking Neil Young, he should reconsider.  I'm not particularly a Neil Young fan.  And I care almost as little about the entertainers' political opinions as I do about Mr. Kozlowski's parroted right-wing conspiracy theories.  Almost. </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1117</TotalTime>
  <Application>LibreOffice/7.0.3.1$Windows_X86_64 LibreOffice_project/d7547858d014d4cf69878db179d326fc3483e082</Application>
  <Pages>1</Pages>
  <Words>328</Words>
  <Characters>1768</Characters>
  <CharactersWithSpaces>2106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2022-02-21T22:38:44Z</dcterms:modified>
  <cp:revision>23</cp:revision>
  <dc:subject/>
  <dc:title/>
</cp:coreProperties>
</file>