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D3DC" w14:textId="1D6F7FF8" w:rsidR="00A70F0C" w:rsidRDefault="003265F2" w:rsidP="003265F2">
      <w:pPr>
        <w:pStyle w:val="Heading1"/>
      </w:pPr>
      <w:r>
        <w:t>Accepting or rejecting EUR-LEX Directives, Regulations and Decisions</w:t>
      </w:r>
    </w:p>
    <w:p w14:paraId="0A3B1718" w14:textId="17F19CA2" w:rsidR="003265F2" w:rsidRDefault="003265F2" w:rsidP="003265F2"/>
    <w:p w14:paraId="25BC9080" w14:textId="1658401C" w:rsidR="003265F2" w:rsidRDefault="003265F2" w:rsidP="003265F2">
      <w:r>
        <w:rPr>
          <w:noProof/>
        </w:rPr>
        <w:drawing>
          <wp:inline distT="0" distB="0" distL="0" distR="0" wp14:anchorId="72840176" wp14:editId="6B113E9F">
            <wp:extent cx="1444625" cy="8667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Apart from the Directives, Regulations and Decisions that certainly fall under the remit of DG FISMA</w:t>
      </w:r>
      <w:r w:rsidR="00C27E8A">
        <w:t xml:space="preserve"> (see: </w:t>
      </w:r>
      <w:r w:rsidR="00C27E8A" w:rsidRPr="00C27E8A">
        <w:t>https://ec.europa.eu/info/law/law-topic/eu-banking-and-financial-services-law_en</w:t>
      </w:r>
      <w:r w:rsidR="00C27E8A">
        <w:t>)</w:t>
      </w:r>
      <w:r>
        <w:t xml:space="preserve">, we propose to – at this stage of the project – also include those pieces of legislation which are </w:t>
      </w:r>
      <w:r w:rsidRPr="003265F2">
        <w:rPr>
          <w:b/>
          <w:bCs/>
        </w:rPr>
        <w:t>closely connected</w:t>
      </w:r>
      <w:r>
        <w:t xml:space="preserve"> to DG FISMA’s competences, </w:t>
      </w:r>
      <w:r w:rsidRPr="003265F2">
        <w:t xml:space="preserve"> i.e. financial stability, financial services and capital markets</w:t>
      </w:r>
      <w:r>
        <w:t>, in particular:</w:t>
      </w:r>
    </w:p>
    <w:p w14:paraId="300A60E7" w14:textId="01B263F8" w:rsidR="003265F2" w:rsidRDefault="003265F2" w:rsidP="003265F2">
      <w:pPr>
        <w:pStyle w:val="ListParagraph"/>
        <w:numPr>
          <w:ilvl w:val="0"/>
          <w:numId w:val="2"/>
        </w:numPr>
      </w:pPr>
      <w:r>
        <w:t>financial supervision and risk management</w:t>
      </w:r>
    </w:p>
    <w:p w14:paraId="3C98A1A1" w14:textId="5A73FF1E" w:rsidR="003265F2" w:rsidRDefault="003265F2" w:rsidP="003265F2">
      <w:pPr>
        <w:pStyle w:val="ListParagraph"/>
        <w:numPr>
          <w:ilvl w:val="0"/>
          <w:numId w:val="2"/>
        </w:numPr>
      </w:pPr>
      <w:r>
        <w:t>banking union</w:t>
      </w:r>
    </w:p>
    <w:p w14:paraId="5A784460" w14:textId="0E3A94F2" w:rsidR="003265F2" w:rsidRDefault="003265F2" w:rsidP="003265F2">
      <w:pPr>
        <w:pStyle w:val="ListParagraph"/>
        <w:numPr>
          <w:ilvl w:val="0"/>
          <w:numId w:val="2"/>
        </w:numPr>
      </w:pPr>
      <w:r>
        <w:t>consumer financial services</w:t>
      </w:r>
    </w:p>
    <w:p w14:paraId="546BCA4D" w14:textId="39059C80" w:rsidR="003265F2" w:rsidRDefault="003265F2" w:rsidP="003265F2">
      <w:pPr>
        <w:pStyle w:val="ListParagraph"/>
        <w:numPr>
          <w:ilvl w:val="0"/>
          <w:numId w:val="2"/>
        </w:numPr>
      </w:pPr>
      <w:r>
        <w:t>payment services</w:t>
      </w:r>
    </w:p>
    <w:p w14:paraId="38473D86" w14:textId="10816931" w:rsidR="003265F2" w:rsidRDefault="003265F2" w:rsidP="003265F2">
      <w:pPr>
        <w:pStyle w:val="ListParagraph"/>
        <w:numPr>
          <w:ilvl w:val="0"/>
          <w:numId w:val="2"/>
        </w:numPr>
      </w:pPr>
      <w:r>
        <w:t>financial markets</w:t>
      </w:r>
    </w:p>
    <w:p w14:paraId="433FC58B" w14:textId="37C03049" w:rsidR="003265F2" w:rsidRDefault="003265F2" w:rsidP="003265F2">
      <w:pPr>
        <w:pStyle w:val="ListParagraph"/>
        <w:numPr>
          <w:ilvl w:val="0"/>
          <w:numId w:val="2"/>
        </w:numPr>
      </w:pPr>
      <w:r>
        <w:t>insurance and pensions</w:t>
      </w:r>
    </w:p>
    <w:p w14:paraId="7EBE0B37" w14:textId="09DBF7A9" w:rsidR="003265F2" w:rsidRDefault="003265F2" w:rsidP="003265F2">
      <w:pPr>
        <w:pStyle w:val="ListParagraph"/>
        <w:numPr>
          <w:ilvl w:val="0"/>
          <w:numId w:val="2"/>
        </w:numPr>
      </w:pPr>
      <w:r>
        <w:t>company reporting and auditing</w:t>
      </w:r>
    </w:p>
    <w:p w14:paraId="2B12C411" w14:textId="169B8428" w:rsidR="003265F2" w:rsidRDefault="007C118D" w:rsidP="003265F2">
      <w:r>
        <w:t>It was confirmed in a phone call dd 17/06/2020 that it is better to have too many documents within the CM than too little.  And there is always the possibility to still slim down at a later stage of the project.</w:t>
      </w:r>
    </w:p>
    <w:p w14:paraId="22866DC5" w14:textId="1A2DD14C" w:rsidR="003265F2" w:rsidRDefault="003265F2" w:rsidP="003265F2"/>
    <w:p w14:paraId="6AC302F5" w14:textId="66908177" w:rsidR="003265F2" w:rsidRDefault="003265F2" w:rsidP="003265F2">
      <w:pPr>
        <w:pStyle w:val="Heading2"/>
      </w:pPr>
      <w:r>
        <w:t>1. To accept in all cases (NO CASCADE)</w:t>
      </w:r>
    </w:p>
    <w:p w14:paraId="4C24F583" w14:textId="1E5A4072" w:rsidR="003265F2" w:rsidRDefault="003265F2" w:rsidP="003265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65F2" w14:paraId="65008938" w14:textId="77777777" w:rsidTr="003265F2">
        <w:tc>
          <w:tcPr>
            <w:tcW w:w="4531" w:type="dxa"/>
          </w:tcPr>
          <w:p w14:paraId="373E2C9A" w14:textId="09FCCF65" w:rsidR="003265F2" w:rsidRDefault="003265F2" w:rsidP="003265F2">
            <w:r>
              <w:t>Department responsible</w:t>
            </w:r>
          </w:p>
        </w:tc>
        <w:tc>
          <w:tcPr>
            <w:tcW w:w="4531" w:type="dxa"/>
          </w:tcPr>
          <w:p w14:paraId="6741DE78" w14:textId="1F4E4D37" w:rsidR="003265F2" w:rsidRDefault="003265F2" w:rsidP="003265F2">
            <w:commentRangeStart w:id="0"/>
            <w:r w:rsidRPr="003265F2">
              <w:t>Directorate-General for Financial Stability, Financial Services and Capital Markets Union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3265F2" w14:paraId="7EF50213" w14:textId="77777777" w:rsidTr="003265F2">
        <w:tc>
          <w:tcPr>
            <w:tcW w:w="4531" w:type="dxa"/>
          </w:tcPr>
          <w:p w14:paraId="609D0B33" w14:textId="2743518F" w:rsidR="003265F2" w:rsidRDefault="003265F2" w:rsidP="003265F2">
            <w:r>
              <w:t>Author</w:t>
            </w:r>
          </w:p>
        </w:tc>
        <w:tc>
          <w:tcPr>
            <w:tcW w:w="4531" w:type="dxa"/>
          </w:tcPr>
          <w:p w14:paraId="03C385EA" w14:textId="40BDF0A8" w:rsidR="003265F2" w:rsidRDefault="003265F2" w:rsidP="003265F2">
            <w:r w:rsidRPr="003265F2">
              <w:t>Directorate-General for Financial Stability, Financial Services and Capital Markets Union</w:t>
            </w:r>
          </w:p>
        </w:tc>
      </w:tr>
      <w:tr w:rsidR="003265F2" w14:paraId="78C1425F" w14:textId="77777777" w:rsidTr="003265F2">
        <w:tc>
          <w:tcPr>
            <w:tcW w:w="4531" w:type="dxa"/>
          </w:tcPr>
          <w:p w14:paraId="185D8938" w14:textId="2C61D013" w:rsidR="003265F2" w:rsidRDefault="003265F2" w:rsidP="003265F2">
            <w:r>
              <w:t>Summary Code</w:t>
            </w:r>
          </w:p>
        </w:tc>
        <w:tc>
          <w:tcPr>
            <w:tcW w:w="4531" w:type="dxa"/>
          </w:tcPr>
          <w:p w14:paraId="5765D5A0" w14:textId="0CA42752" w:rsidR="003265F2" w:rsidRDefault="003265F2" w:rsidP="003265F2">
            <w:r>
              <w:t>Starting with 14.09</w:t>
            </w:r>
            <w:r w:rsidR="00D10A02">
              <w:t xml:space="preserve"> (</w:t>
            </w:r>
            <w:r w:rsidR="00D10A02" w:rsidRPr="00D10A02">
              <w:t>Economic and monetary affairs / Banking and financial services</w:t>
            </w:r>
            <w:r w:rsidR="00D10A02">
              <w:t>)</w:t>
            </w:r>
          </w:p>
        </w:tc>
      </w:tr>
      <w:tr w:rsidR="003265F2" w14:paraId="2D483097" w14:textId="77777777" w:rsidTr="003265F2">
        <w:tc>
          <w:tcPr>
            <w:tcW w:w="4531" w:type="dxa"/>
          </w:tcPr>
          <w:p w14:paraId="291C4241" w14:textId="390573E9" w:rsidR="003265F2" w:rsidRDefault="003265F2" w:rsidP="003265F2">
            <w:r>
              <w:t>Summary Code</w:t>
            </w:r>
          </w:p>
        </w:tc>
        <w:tc>
          <w:tcPr>
            <w:tcW w:w="4531" w:type="dxa"/>
          </w:tcPr>
          <w:p w14:paraId="3C268850" w14:textId="2753D504" w:rsidR="003265F2" w:rsidRDefault="003265F2" w:rsidP="003265F2">
            <w:r>
              <w:t>Starting with 24.15</w:t>
            </w:r>
            <w:r w:rsidR="00D10A02">
              <w:t xml:space="preserve"> (</w:t>
            </w:r>
            <w:r w:rsidR="00D10A02" w:rsidRPr="00D10A02">
              <w:t>Internal market / Banking and finance</w:t>
            </w:r>
            <w:r w:rsidR="00D10A02">
              <w:t>)</w:t>
            </w:r>
          </w:p>
        </w:tc>
      </w:tr>
      <w:tr w:rsidR="003265F2" w14:paraId="60301762" w14:textId="77777777" w:rsidTr="003265F2">
        <w:tc>
          <w:tcPr>
            <w:tcW w:w="4531" w:type="dxa"/>
          </w:tcPr>
          <w:p w14:paraId="457CEE4B" w14:textId="0AC76AE7" w:rsidR="003265F2" w:rsidRDefault="003265F2" w:rsidP="003265F2">
            <w:r>
              <w:t>Directory Code</w:t>
            </w:r>
          </w:p>
        </w:tc>
        <w:tc>
          <w:tcPr>
            <w:tcW w:w="4531" w:type="dxa"/>
          </w:tcPr>
          <w:p w14:paraId="64CE7A20" w14:textId="038BC9E1" w:rsidR="003265F2" w:rsidRDefault="003265F2" w:rsidP="003265F2">
            <w:r>
              <w:t>Starting with 06.20.20</w:t>
            </w:r>
            <w:r w:rsidR="00D10A02">
              <w:t xml:space="preserve"> (</w:t>
            </w:r>
            <w:r w:rsidR="00D10A02" w:rsidRPr="00D10A02">
              <w:t>Right of establishment and freedom to provide services / Sectoral applicatio</w:t>
            </w:r>
            <w:r w:rsidR="00D10A02">
              <w:t>n)</w:t>
            </w:r>
          </w:p>
        </w:tc>
      </w:tr>
    </w:tbl>
    <w:p w14:paraId="07671F4C" w14:textId="25E720C0" w:rsidR="003265F2" w:rsidRDefault="003265F2" w:rsidP="003265F2"/>
    <w:p w14:paraId="2EE02EBB" w14:textId="696D92A0" w:rsidR="003265F2" w:rsidRDefault="003265F2" w:rsidP="003265F2"/>
    <w:p w14:paraId="67ADFEAF" w14:textId="2414DFBE" w:rsidR="00941561" w:rsidRDefault="003265F2" w:rsidP="00941561">
      <w:pPr>
        <w:pStyle w:val="Heading2"/>
      </w:pPr>
      <w:r>
        <w:t>2. If not picked up within Step 1, also to accept in all cases (NO CASCADE)</w:t>
      </w:r>
    </w:p>
    <w:p w14:paraId="4FD8351E" w14:textId="347AA979" w:rsidR="00941561" w:rsidRDefault="00941561" w:rsidP="00941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561" w14:paraId="461E8661" w14:textId="77777777" w:rsidTr="00941561">
        <w:tc>
          <w:tcPr>
            <w:tcW w:w="4531" w:type="dxa"/>
          </w:tcPr>
          <w:p w14:paraId="7C4C6CED" w14:textId="0F90B196" w:rsidR="00941561" w:rsidRDefault="00941561" w:rsidP="00941561">
            <w:r>
              <w:t>Subject matter</w:t>
            </w:r>
          </w:p>
        </w:tc>
        <w:tc>
          <w:tcPr>
            <w:tcW w:w="4531" w:type="dxa"/>
          </w:tcPr>
          <w:p w14:paraId="1AFBBA15" w14:textId="7D1ED86D" w:rsidR="00941561" w:rsidRDefault="00941561" w:rsidP="00941561">
            <w:r>
              <w:t>European Investment Bank (EIB)</w:t>
            </w:r>
          </w:p>
        </w:tc>
      </w:tr>
      <w:tr w:rsidR="00941561" w14:paraId="343574EF" w14:textId="77777777" w:rsidTr="00941561">
        <w:tc>
          <w:tcPr>
            <w:tcW w:w="4531" w:type="dxa"/>
          </w:tcPr>
          <w:p w14:paraId="1C160D69" w14:textId="6BB659E9" w:rsidR="00941561" w:rsidRDefault="00941561" w:rsidP="00941561">
            <w:proofErr w:type="spellStart"/>
            <w:r>
              <w:t>EuroVOC</w:t>
            </w:r>
            <w:proofErr w:type="spellEnd"/>
          </w:p>
        </w:tc>
        <w:tc>
          <w:tcPr>
            <w:tcW w:w="4531" w:type="dxa"/>
          </w:tcPr>
          <w:p w14:paraId="150D2447" w14:textId="2D3C79A9" w:rsidR="00941561" w:rsidRDefault="00941561" w:rsidP="00941561">
            <w:r w:rsidRPr="00941561">
              <w:t>European Investment Bank (EIB)</w:t>
            </w:r>
          </w:p>
        </w:tc>
      </w:tr>
      <w:tr w:rsidR="00941561" w14:paraId="6659A61B" w14:textId="77777777" w:rsidTr="00941561">
        <w:tc>
          <w:tcPr>
            <w:tcW w:w="4531" w:type="dxa"/>
          </w:tcPr>
          <w:p w14:paraId="01D3D70F" w14:textId="4D880D63" w:rsidR="00941561" w:rsidRDefault="00941561" w:rsidP="00941561">
            <w:r>
              <w:t>Subject matter</w:t>
            </w:r>
          </w:p>
        </w:tc>
        <w:tc>
          <w:tcPr>
            <w:tcW w:w="4531" w:type="dxa"/>
          </w:tcPr>
          <w:p w14:paraId="36EE12F2" w14:textId="4E6D6DE3" w:rsidR="00941561" w:rsidRDefault="00941561" w:rsidP="00941561">
            <w:r>
              <w:t>European Central Bank (ECB)</w:t>
            </w:r>
          </w:p>
        </w:tc>
      </w:tr>
      <w:tr w:rsidR="00941561" w14:paraId="26F16258" w14:textId="77777777" w:rsidTr="00941561">
        <w:tc>
          <w:tcPr>
            <w:tcW w:w="4531" w:type="dxa"/>
          </w:tcPr>
          <w:p w14:paraId="184642A3" w14:textId="24F81BD7" w:rsidR="00941561" w:rsidRDefault="00941561" w:rsidP="00941561">
            <w:proofErr w:type="spellStart"/>
            <w:r>
              <w:lastRenderedPageBreak/>
              <w:t>EuroVOC</w:t>
            </w:r>
            <w:proofErr w:type="spellEnd"/>
          </w:p>
        </w:tc>
        <w:tc>
          <w:tcPr>
            <w:tcW w:w="4531" w:type="dxa"/>
          </w:tcPr>
          <w:p w14:paraId="5A771F1C" w14:textId="0900D34E" w:rsidR="00941561" w:rsidRDefault="00941561" w:rsidP="00941561">
            <w:r>
              <w:t>European Central Bank (ECB)</w:t>
            </w:r>
          </w:p>
        </w:tc>
      </w:tr>
      <w:tr w:rsidR="00941561" w14:paraId="34FFF2F9" w14:textId="77777777" w:rsidTr="00941561">
        <w:tc>
          <w:tcPr>
            <w:tcW w:w="4531" w:type="dxa"/>
          </w:tcPr>
          <w:p w14:paraId="15569666" w14:textId="328F0E6A" w:rsidR="00941561" w:rsidRDefault="00941561" w:rsidP="00941561">
            <w:proofErr w:type="spellStart"/>
            <w:r>
              <w:t>EuroVOC</w:t>
            </w:r>
            <w:proofErr w:type="spellEnd"/>
          </w:p>
        </w:tc>
        <w:tc>
          <w:tcPr>
            <w:tcW w:w="4531" w:type="dxa"/>
          </w:tcPr>
          <w:p w14:paraId="35D48505" w14:textId="5AFA786D" w:rsidR="00941561" w:rsidRDefault="00941561" w:rsidP="00941561">
            <w:r>
              <w:t>EBRD</w:t>
            </w:r>
          </w:p>
        </w:tc>
      </w:tr>
      <w:tr w:rsidR="00941561" w14:paraId="050ED764" w14:textId="77777777" w:rsidTr="00941561">
        <w:tc>
          <w:tcPr>
            <w:tcW w:w="4531" w:type="dxa"/>
          </w:tcPr>
          <w:p w14:paraId="5A191259" w14:textId="73767BE0" w:rsidR="00941561" w:rsidRDefault="00941561" w:rsidP="00941561">
            <w:r>
              <w:t>Subject matter</w:t>
            </w:r>
          </w:p>
        </w:tc>
        <w:tc>
          <w:tcPr>
            <w:tcW w:w="4531" w:type="dxa"/>
          </w:tcPr>
          <w:p w14:paraId="0EE1BCA6" w14:textId="51E1C66D" w:rsidR="00941561" w:rsidRDefault="00941561" w:rsidP="00941561">
            <w:r>
              <w:t>Free movement of capital</w:t>
            </w:r>
          </w:p>
        </w:tc>
      </w:tr>
      <w:tr w:rsidR="00941561" w14:paraId="6EC0C3CB" w14:textId="77777777" w:rsidTr="00941561">
        <w:tc>
          <w:tcPr>
            <w:tcW w:w="4531" w:type="dxa"/>
          </w:tcPr>
          <w:p w14:paraId="2569DBD1" w14:textId="1AB9E198" w:rsidR="00941561" w:rsidRDefault="00941561" w:rsidP="00941561">
            <w:proofErr w:type="spellStart"/>
            <w:r>
              <w:t>EuroVOC</w:t>
            </w:r>
            <w:proofErr w:type="spellEnd"/>
          </w:p>
        </w:tc>
        <w:tc>
          <w:tcPr>
            <w:tcW w:w="4531" w:type="dxa"/>
          </w:tcPr>
          <w:p w14:paraId="69229526" w14:textId="1D74633E" w:rsidR="00941561" w:rsidRDefault="00941561" w:rsidP="00941561">
            <w:r>
              <w:t>Money laundering</w:t>
            </w:r>
          </w:p>
        </w:tc>
      </w:tr>
      <w:tr w:rsidR="00941561" w14:paraId="09F0316D" w14:textId="77777777" w:rsidTr="00941561">
        <w:tc>
          <w:tcPr>
            <w:tcW w:w="4531" w:type="dxa"/>
          </w:tcPr>
          <w:p w14:paraId="74243FA6" w14:textId="09FA10A4" w:rsidR="00941561" w:rsidRDefault="00941561" w:rsidP="00941561">
            <w:proofErr w:type="spellStart"/>
            <w:r>
              <w:t>EuroVOC</w:t>
            </w:r>
            <w:proofErr w:type="spellEnd"/>
          </w:p>
        </w:tc>
        <w:tc>
          <w:tcPr>
            <w:tcW w:w="4531" w:type="dxa"/>
          </w:tcPr>
          <w:p w14:paraId="2DAABBB7" w14:textId="54C2E7CB" w:rsidR="00941561" w:rsidRDefault="00941561" w:rsidP="00941561">
            <w:r>
              <w:t>counterfeiting</w:t>
            </w:r>
          </w:p>
        </w:tc>
      </w:tr>
      <w:tr w:rsidR="00941561" w14:paraId="33AA3000" w14:textId="77777777" w:rsidTr="00941561">
        <w:tc>
          <w:tcPr>
            <w:tcW w:w="4531" w:type="dxa"/>
          </w:tcPr>
          <w:p w14:paraId="5A635949" w14:textId="4888FF5B" w:rsidR="00941561" w:rsidRDefault="00941561" w:rsidP="00941561">
            <w:r>
              <w:t>Summary Code</w:t>
            </w:r>
          </w:p>
        </w:tc>
        <w:tc>
          <w:tcPr>
            <w:tcW w:w="4531" w:type="dxa"/>
          </w:tcPr>
          <w:p w14:paraId="30652787" w14:textId="6E6EB714" w:rsidR="00941561" w:rsidRDefault="00D10A02" w:rsidP="00941561">
            <w:r>
              <w:t xml:space="preserve">Starting with </w:t>
            </w:r>
            <w:r w:rsidR="00941561">
              <w:t>24.04.03 (</w:t>
            </w:r>
            <w:r w:rsidRPr="00D10A02">
              <w:t>Internal market / Single market for services / Financial services: insurance</w:t>
            </w:r>
            <w:r>
              <w:t>)</w:t>
            </w:r>
          </w:p>
        </w:tc>
      </w:tr>
      <w:tr w:rsidR="00941561" w14:paraId="11CFA912" w14:textId="77777777" w:rsidTr="00941561">
        <w:tc>
          <w:tcPr>
            <w:tcW w:w="4531" w:type="dxa"/>
          </w:tcPr>
          <w:p w14:paraId="5E7CA007" w14:textId="2899268A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6E1409FA" w14:textId="4D0A83EF" w:rsidR="00941561" w:rsidRDefault="00D10A02" w:rsidP="00941561">
            <w:r>
              <w:t xml:space="preserve">Starting with </w:t>
            </w:r>
            <w:r w:rsidR="00941561">
              <w:t>01.60</w:t>
            </w:r>
            <w:r>
              <w:t xml:space="preserve"> (</w:t>
            </w:r>
            <w:r w:rsidRPr="00D10A02">
              <w:t xml:space="preserve">General, </w:t>
            </w:r>
            <w:proofErr w:type="gramStart"/>
            <w:r w:rsidRPr="00D10A02">
              <w:t>financial</w:t>
            </w:r>
            <w:proofErr w:type="gramEnd"/>
            <w:r w:rsidRPr="00D10A02">
              <w:t xml:space="preserve"> and institutional matters / Financial and budgetary provisions</w:t>
            </w:r>
            <w:r>
              <w:t>)</w:t>
            </w:r>
          </w:p>
        </w:tc>
      </w:tr>
      <w:tr w:rsidR="00941561" w14:paraId="3B06FDF8" w14:textId="77777777" w:rsidTr="00941561">
        <w:tc>
          <w:tcPr>
            <w:tcW w:w="4531" w:type="dxa"/>
          </w:tcPr>
          <w:p w14:paraId="55342833" w14:textId="255D0056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4CF701A5" w14:textId="0DA80F0B" w:rsidR="00941561" w:rsidRDefault="00D10A02" w:rsidP="00941561">
            <w:r>
              <w:t xml:space="preserve">Starting with </w:t>
            </w:r>
            <w:r w:rsidR="00941561">
              <w:t>10.40</w:t>
            </w:r>
            <w:r>
              <w:t xml:space="preserve"> (</w:t>
            </w:r>
            <w:r w:rsidRPr="00D10A02">
              <w:t>Economic and monetary policy and free movement of capital / Free movement of capital</w:t>
            </w:r>
            <w:r>
              <w:t>)</w:t>
            </w:r>
          </w:p>
        </w:tc>
      </w:tr>
      <w:tr w:rsidR="00941561" w14:paraId="51D9BDB2" w14:textId="77777777" w:rsidTr="00941561">
        <w:tc>
          <w:tcPr>
            <w:tcW w:w="4531" w:type="dxa"/>
          </w:tcPr>
          <w:p w14:paraId="02BB5333" w14:textId="5F4CEE8C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67736AEC" w14:textId="1D01AE2F" w:rsidR="00941561" w:rsidRDefault="00941561" w:rsidP="00941561">
            <w:r>
              <w:t>10.30</w:t>
            </w:r>
            <w:r w:rsidR="00D10A02">
              <w:t xml:space="preserve"> (</w:t>
            </w:r>
            <w:r w:rsidR="00D10A02" w:rsidRPr="00D10A02">
              <w:t>Economic and monetary policy and free movement of capital / Economic policy</w:t>
            </w:r>
            <w:r w:rsidR="00D10A02">
              <w:t>)</w:t>
            </w:r>
          </w:p>
        </w:tc>
      </w:tr>
    </w:tbl>
    <w:p w14:paraId="1B240DA3" w14:textId="77777777" w:rsidR="00941561" w:rsidRDefault="00941561" w:rsidP="00941561"/>
    <w:p w14:paraId="60C45E2C" w14:textId="7EB1C7EB" w:rsidR="00941561" w:rsidRDefault="00941561" w:rsidP="00941561">
      <w:r>
        <w:t xml:space="preserve"> ! the term “financial services” in </w:t>
      </w:r>
      <w:proofErr w:type="spellStart"/>
      <w:r>
        <w:t>EuroVOC</w:t>
      </w:r>
      <w:proofErr w:type="spellEnd"/>
      <w:r>
        <w:t xml:space="preserve"> does not automatically lead to “accept”!</w:t>
      </w:r>
    </w:p>
    <w:p w14:paraId="054F8F04" w14:textId="582E3DAE" w:rsidR="00941561" w:rsidRDefault="00941561" w:rsidP="00941561"/>
    <w:p w14:paraId="01012304" w14:textId="0DF85670" w:rsidR="00941561" w:rsidRDefault="00941561" w:rsidP="00941561">
      <w:pPr>
        <w:pStyle w:val="Heading2"/>
      </w:pPr>
      <w:r>
        <w:t xml:space="preserve">3. In step 3, </w:t>
      </w:r>
      <w:commentRangeStart w:id="1"/>
      <w:r>
        <w:t xml:space="preserve">these not-so-obvious cases are to be rejected for sure 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0B18BD3D" w14:textId="4F2089A0" w:rsidR="00941561" w:rsidRDefault="00941561" w:rsidP="00941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1561" w14:paraId="4E425712" w14:textId="77777777" w:rsidTr="00941561">
        <w:tc>
          <w:tcPr>
            <w:tcW w:w="4531" w:type="dxa"/>
          </w:tcPr>
          <w:p w14:paraId="2F5E20C5" w14:textId="17E467EA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491BE58E" w14:textId="36239849" w:rsidR="00941561" w:rsidRDefault="00D10A02" w:rsidP="00941561">
            <w:r>
              <w:t xml:space="preserve">Starting with </w:t>
            </w:r>
            <w:r w:rsidR="00941561">
              <w:t>08 (</w:t>
            </w:r>
            <w:r>
              <w:t>C</w:t>
            </w:r>
            <w:r w:rsidR="00941561">
              <w:t>ompetition policy)</w:t>
            </w:r>
          </w:p>
        </w:tc>
      </w:tr>
      <w:tr w:rsidR="00941561" w14:paraId="06306C4E" w14:textId="77777777" w:rsidTr="00941561">
        <w:tc>
          <w:tcPr>
            <w:tcW w:w="4531" w:type="dxa"/>
          </w:tcPr>
          <w:p w14:paraId="62132940" w14:textId="5070DEA8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142262AE" w14:textId="08B94736" w:rsidR="00941561" w:rsidRDefault="00D10A02" w:rsidP="00941561">
            <w:r>
              <w:t xml:space="preserve">Starting with </w:t>
            </w:r>
            <w:r w:rsidR="00941561">
              <w:t>11.70.20 (</w:t>
            </w:r>
            <w:r w:rsidRPr="00D10A02">
              <w:t>External relations / Development policy / Aid to developing countries</w:t>
            </w:r>
            <w:r>
              <w:t>)</w:t>
            </w:r>
          </w:p>
        </w:tc>
      </w:tr>
      <w:tr w:rsidR="00941561" w14:paraId="30ED2E78" w14:textId="77777777" w:rsidTr="00941561">
        <w:tc>
          <w:tcPr>
            <w:tcW w:w="4531" w:type="dxa"/>
          </w:tcPr>
          <w:p w14:paraId="0AB79D91" w14:textId="6F900C95" w:rsidR="00941561" w:rsidRDefault="00941561" w:rsidP="00941561">
            <w:r>
              <w:t>Directory Code</w:t>
            </w:r>
          </w:p>
        </w:tc>
        <w:tc>
          <w:tcPr>
            <w:tcW w:w="4531" w:type="dxa"/>
          </w:tcPr>
          <w:p w14:paraId="4124841D" w14:textId="442FBFE1" w:rsidR="00941561" w:rsidRDefault="00D10A02" w:rsidP="00941561">
            <w:r>
              <w:t xml:space="preserve">Starting with </w:t>
            </w:r>
            <w:r w:rsidR="00941561">
              <w:t>09 (</w:t>
            </w:r>
            <w:r>
              <w:t>T</w:t>
            </w:r>
            <w:r w:rsidR="00941561">
              <w:t>axation)</w:t>
            </w:r>
          </w:p>
        </w:tc>
      </w:tr>
      <w:tr w:rsidR="00941561" w14:paraId="161BD160" w14:textId="77777777" w:rsidTr="00941561">
        <w:tc>
          <w:tcPr>
            <w:tcW w:w="4531" w:type="dxa"/>
          </w:tcPr>
          <w:p w14:paraId="161C7495" w14:textId="1D70CBB6" w:rsidR="00941561" w:rsidRDefault="00941561" w:rsidP="00941561">
            <w:r>
              <w:t>Subject matter</w:t>
            </w:r>
          </w:p>
        </w:tc>
        <w:tc>
          <w:tcPr>
            <w:tcW w:w="4531" w:type="dxa"/>
          </w:tcPr>
          <w:p w14:paraId="5CB13A70" w14:textId="4C81BF94" w:rsidR="00941561" w:rsidRDefault="00941561" w:rsidP="00941561">
            <w:r>
              <w:t>State aid</w:t>
            </w:r>
          </w:p>
        </w:tc>
      </w:tr>
    </w:tbl>
    <w:p w14:paraId="2E4CAF5E" w14:textId="6CA3FAA1" w:rsidR="00941561" w:rsidRDefault="00941561" w:rsidP="00941561"/>
    <w:p w14:paraId="69D2F336" w14:textId="5CC96137" w:rsidR="00EC1F5D" w:rsidRDefault="00EC1F5D" w:rsidP="00941561"/>
    <w:p w14:paraId="34A36BD3" w14:textId="7C6C4641" w:rsidR="00EC1F5D" w:rsidRDefault="00EC1F5D" w:rsidP="00941561">
      <w:pPr>
        <w:pBdr>
          <w:bottom w:val="single" w:sz="6" w:space="1" w:color="auto"/>
        </w:pBdr>
      </w:pPr>
    </w:p>
    <w:p w14:paraId="2BD1559F" w14:textId="18CE8E9A" w:rsidR="00EC1F5D" w:rsidRDefault="00EC1F5D" w:rsidP="00941561"/>
    <w:p w14:paraId="47417B9E" w14:textId="5005E02A" w:rsidR="00EC1F5D" w:rsidRDefault="00EC1F5D" w:rsidP="00941561">
      <w:r>
        <w:t>Other observation, seen at</w:t>
      </w: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46"/>
        <w:gridCol w:w="1308"/>
        <w:gridCol w:w="1286"/>
        <w:gridCol w:w="1374"/>
        <w:gridCol w:w="1364"/>
        <w:gridCol w:w="974"/>
        <w:gridCol w:w="1874"/>
        <w:gridCol w:w="146"/>
      </w:tblGrid>
      <w:tr w:rsidR="00DD2956" w:rsidRPr="00EC1F5D" w14:paraId="6ABA30F6" w14:textId="77777777" w:rsidTr="00DD2956">
        <w:trPr>
          <w:trHeight w:val="2550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CBF11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Directive 2014/56/EU of the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European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Parliament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of the Council of 16 April 2014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amending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Directive 2006/43/EC on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statutory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audits of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annual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lastRenderedPageBreak/>
              <w:t>accounts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consolidated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accounts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Text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with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EEA relevance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AD7A9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0241E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proofErr w:type="gram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management</w:t>
            </w:r>
            <w:proofErr w:type="gram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audit 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financial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control 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auditing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  <w:t xml:space="preserve">audit 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consolidated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account</w:t>
            </w:r>
            <w:proofErr w:type="spell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675CD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17.10.00.00 Law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relating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to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undertakings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/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Company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law</w:t>
            </w:r>
            <w:proofErr w:type="spellEnd"/>
          </w:p>
        </w:tc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230AE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Internal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market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- Principles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  <w:t>Freedom of establishment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14:paraId="2F72831D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proofErr w:type="spellStart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>Summary</w:t>
            </w:r>
            <w:proofErr w:type="spellEnd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 xml:space="preserve"> Code </w:t>
            </w:r>
            <w:proofErr w:type="spellStart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>only</w:t>
            </w:r>
            <w:proofErr w:type="spellEnd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>available</w:t>
            </w:r>
            <w:proofErr w:type="spellEnd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 xml:space="preserve"> for original directive 2006/43/</w:t>
            </w:r>
            <w:proofErr w:type="gramStart"/>
            <w:r w:rsidRPr="00EC1F5D">
              <w:rPr>
                <w:rFonts w:ascii="Arial" w:eastAsia="Times New Roman" w:hAnsi="Arial" w:cs="Arial"/>
                <w:color w:val="0070C0"/>
                <w:sz w:val="20"/>
                <w:szCs w:val="20"/>
                <w:lang w:val="fr-BE" w:eastAsia="fr-BE"/>
              </w:rPr>
              <w:t>EC!!!</w:t>
            </w:r>
            <w:proofErr w:type="gram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  <w:t xml:space="preserve">14.09.07.00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Economic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monetary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affairs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/ Banking and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financial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services /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Company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reporting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lastRenderedPageBreak/>
              <w:t>auditing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  <w:t xml:space="preserve">24.15.07.00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Internal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market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/ Banking and finance /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Company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reporting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auditing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CCBC5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lastRenderedPageBreak/>
              <w:t xml:space="preserve">Accepted 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2356A" w14:textId="52D2B5C5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Leading </w:t>
            </w:r>
            <w:proofErr w:type="spellStart"/>
            <w:proofErr w:type="gram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service:Directorate</w:t>
            </w:r>
            <w:proofErr w:type="gram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-General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for the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Internal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Market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and Services (DG MARKT).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However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, the directory </w:t>
            </w:r>
            <w:proofErr w:type="gram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code(</w:t>
            </w:r>
            <w:proofErr w:type="gram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17.10.00)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could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fall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under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DG FISMA remit. 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Amended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Directive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is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under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DG FISMA</w:t>
            </w:r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br/>
            </w:r>
            <w:proofErr w:type="spellStart"/>
            <w:proofErr w:type="gram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EuroVOC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:</w:t>
            </w:r>
            <w:proofErr w:type="gram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financial</w:t>
            </w:r>
            <w:proofErr w:type="spellEnd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control, </w:t>
            </w:r>
            <w:proofErr w:type="spellStart"/>
            <w:r w:rsidRPr="00EC1F5D"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>auditing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  <w:t xml:space="preserve"> – </w:t>
            </w:r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original directive </w:t>
            </w:r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lastRenderedPageBreak/>
              <w:t xml:space="preserve">2006/43/EC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is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clearly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under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DG FISMA (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see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summary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code 14.09 and 24.15),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so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amending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directive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should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also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be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under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DG FISMA (but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this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is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not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so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obvious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from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the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available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meta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deta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fields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for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this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</w:t>
            </w:r>
            <w:proofErr w:type="spellStart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>amending</w:t>
            </w:r>
            <w:proofErr w:type="spellEnd"/>
            <w:r w:rsidRPr="00DD2956">
              <w:rPr>
                <w:rFonts w:ascii="Arial" w:eastAsia="Times New Roman" w:hAnsi="Arial" w:cs="Arial"/>
                <w:color w:val="FF0000"/>
                <w:sz w:val="20"/>
                <w:szCs w:val="20"/>
                <w:lang w:val="fr-BE" w:eastAsia="fr-BE"/>
              </w:rPr>
              <w:t xml:space="preserve"> directive…)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7C5C0" w14:textId="77777777" w:rsidR="00DD2956" w:rsidRPr="00EC1F5D" w:rsidRDefault="00DD2956" w:rsidP="00EC1F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BE" w:eastAsia="fr-BE"/>
              </w:rPr>
            </w:pPr>
          </w:p>
        </w:tc>
      </w:tr>
    </w:tbl>
    <w:p w14:paraId="0C758301" w14:textId="01356DDD" w:rsidR="00EC1F5D" w:rsidRDefault="00EC1F5D" w:rsidP="00941561"/>
    <w:sectPr w:rsidR="00EC1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éronique Bruggeman" w:date="2020-06-17T18:24:00Z" w:initials="VB">
    <w:p w14:paraId="5168E7AE" w14:textId="0AF34601" w:rsidR="003265F2" w:rsidRDefault="003265F2">
      <w:pPr>
        <w:pStyle w:val="CommentText"/>
      </w:pPr>
      <w:r>
        <w:rPr>
          <w:rStyle w:val="CommentReference"/>
        </w:rPr>
        <w:annotationRef/>
      </w:r>
      <w:r>
        <w:t>This does not mean that, automatically, all docs referring to another Directorate-General are excluded!  (especially see “!” above)</w:t>
      </w:r>
    </w:p>
  </w:comment>
  <w:comment w:id="1" w:author="Véronique Bruggeman" w:date="2020-06-17T18:30:00Z" w:initials="VB">
    <w:p w14:paraId="7017E905" w14:textId="6E50FBFB" w:rsidR="00941561" w:rsidRDefault="00941561">
      <w:pPr>
        <w:pStyle w:val="CommentText"/>
      </w:pPr>
      <w:r>
        <w:rPr>
          <w:rStyle w:val="CommentReference"/>
        </w:rPr>
        <w:annotationRef/>
      </w:r>
      <w:r w:rsidR="00CD4F83">
        <w:t>I included this here, given “!” and the need to, nevertheless, draw a line</w:t>
      </w:r>
      <w:r w:rsidR="00156B66">
        <w:t xml:space="preserve">. But, of course, this is not so relevant to </w:t>
      </w:r>
      <w:proofErr w:type="spellStart"/>
      <w:r w:rsidR="00156B66">
        <w:t>CrossLang</w:t>
      </w:r>
      <w:proofErr w:type="spellEnd"/>
      <w:r w:rsidR="00156B66">
        <w:t xml:space="preserve"> – they only need to see the docs that need to get accepted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68E7AE" w15:done="0"/>
  <w15:commentEx w15:paraId="7017E9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DE40" w16cex:dateUtc="2020-06-17T16:24:00Z"/>
  <w16cex:commentExtensible w16cex:durableId="2294DFDA" w16cex:dateUtc="2020-06-17T16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68E7AE" w16cid:durableId="2294DE40"/>
  <w16cid:commentId w16cid:paraId="7017E905" w16cid:durableId="2294DF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637"/>
    <w:multiLevelType w:val="hybridMultilevel"/>
    <w:tmpl w:val="AC941FD6"/>
    <w:lvl w:ilvl="0" w:tplc="2B0A8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C6160"/>
    <w:multiLevelType w:val="hybridMultilevel"/>
    <w:tmpl w:val="BDD427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éronique Bruggeman">
    <w15:presenceInfo w15:providerId="Windows Live" w15:userId="6f2133dc66d980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3"/>
    <w:rsid w:val="00027B53"/>
    <w:rsid w:val="00156B66"/>
    <w:rsid w:val="003265F2"/>
    <w:rsid w:val="00614DF6"/>
    <w:rsid w:val="006C558F"/>
    <w:rsid w:val="007C118D"/>
    <w:rsid w:val="00941561"/>
    <w:rsid w:val="00A70F0C"/>
    <w:rsid w:val="00C27E8A"/>
    <w:rsid w:val="00CD4F83"/>
    <w:rsid w:val="00CE37B3"/>
    <w:rsid w:val="00D10A02"/>
    <w:rsid w:val="00DD2956"/>
    <w:rsid w:val="00E54003"/>
    <w:rsid w:val="00E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C19B"/>
  <w15:chartTrackingRefBased/>
  <w15:docId w15:val="{E5A57CBC-6841-4A08-866B-F4B1B7CC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265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65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326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5F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5F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5F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EC1F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Bruggeman</dc:creator>
  <cp:keywords/>
  <dc:description/>
  <cp:lastModifiedBy>Véronique Bruggeman</cp:lastModifiedBy>
  <cp:revision>8</cp:revision>
  <dcterms:created xsi:type="dcterms:W3CDTF">2020-06-17T16:06:00Z</dcterms:created>
  <dcterms:modified xsi:type="dcterms:W3CDTF">2020-06-17T17:04:00Z</dcterms:modified>
</cp:coreProperties>
</file>