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3B" w:rsidRDefault="0040193B" w:rsidP="0040193B">
      <w:pPr>
        <w:jc w:val="center"/>
        <w:rPr>
          <w:sz w:val="60"/>
          <w:szCs w:val="60"/>
        </w:rPr>
      </w:pPr>
      <w:r>
        <w:rPr>
          <w:sz w:val="60"/>
          <w:szCs w:val="60"/>
        </w:rPr>
        <w:t>Partie D. Fontaine</w:t>
      </w:r>
    </w:p>
    <w:p w:rsidR="0040193B" w:rsidRPr="0040193B" w:rsidRDefault="0040193B" w:rsidP="0040193B">
      <w:pPr>
        <w:jc w:val="center"/>
        <w:rPr>
          <w:sz w:val="60"/>
          <w:szCs w:val="60"/>
        </w:rPr>
      </w:pPr>
    </w:p>
    <w:p w:rsidR="00FF5AEE" w:rsidRDefault="0040193B" w:rsidP="0040193B">
      <w:pPr>
        <w:jc w:val="center"/>
        <w:rPr>
          <w:sz w:val="44"/>
          <w:szCs w:val="44"/>
        </w:rPr>
      </w:pPr>
      <w:r w:rsidRPr="0040193B">
        <w:rPr>
          <w:sz w:val="44"/>
          <w:szCs w:val="44"/>
        </w:rPr>
        <w:t>Sommaire</w:t>
      </w:r>
    </w:p>
    <w:p w:rsidR="0040193B" w:rsidRPr="0040193B" w:rsidRDefault="0040193B" w:rsidP="0040193B">
      <w:pPr>
        <w:jc w:val="center"/>
        <w:rPr>
          <w:sz w:val="44"/>
          <w:szCs w:val="44"/>
        </w:rPr>
      </w:pPr>
    </w:p>
    <w:p w:rsidR="0040193B" w:rsidRDefault="0040193B" w:rsidP="0040193B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457"/>
      </w:tblGrid>
      <w:tr w:rsidR="0040193B" w:rsidTr="0040193B">
        <w:tc>
          <w:tcPr>
            <w:tcW w:w="8755" w:type="dxa"/>
          </w:tcPr>
          <w:p w:rsidR="0040193B" w:rsidRDefault="0040193B" w:rsidP="006F5766">
            <w:r>
              <w:t>Introduction à l’UV</w:t>
            </w:r>
          </w:p>
        </w:tc>
        <w:tc>
          <w:tcPr>
            <w:tcW w:w="457" w:type="dxa"/>
          </w:tcPr>
          <w:p w:rsidR="0040193B" w:rsidRDefault="0040193B" w:rsidP="006F5766">
            <w:r>
              <w:t>1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Introduction à la théorie des ensembles</w:t>
            </w:r>
          </w:p>
        </w:tc>
        <w:tc>
          <w:tcPr>
            <w:tcW w:w="457" w:type="dxa"/>
          </w:tcPr>
          <w:p w:rsidR="0040193B" w:rsidRDefault="0040193B" w:rsidP="006F5766">
            <w:r>
              <w:t>5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Définition extensionnelle</w:t>
            </w:r>
          </w:p>
        </w:tc>
        <w:tc>
          <w:tcPr>
            <w:tcW w:w="457" w:type="dxa"/>
          </w:tcPr>
          <w:p w:rsidR="0040193B" w:rsidRDefault="0040193B" w:rsidP="006F5766">
            <w:r>
              <w:t>8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Définition intensionnelle – Décidabilité d’un ensemble</w:t>
            </w:r>
          </w:p>
        </w:tc>
        <w:tc>
          <w:tcPr>
            <w:tcW w:w="457" w:type="dxa"/>
          </w:tcPr>
          <w:p w:rsidR="0040193B" w:rsidRDefault="0040193B" w:rsidP="006F5766">
            <w:r>
              <w:t>9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Relations et opérations entre ensembles</w:t>
            </w:r>
          </w:p>
        </w:tc>
        <w:tc>
          <w:tcPr>
            <w:tcW w:w="457" w:type="dxa"/>
          </w:tcPr>
          <w:p w:rsidR="0040193B" w:rsidRDefault="0040193B" w:rsidP="006F5766">
            <w:r>
              <w:t>10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Ensemble des parties d’un ensemble</w:t>
            </w:r>
          </w:p>
        </w:tc>
        <w:tc>
          <w:tcPr>
            <w:tcW w:w="457" w:type="dxa"/>
          </w:tcPr>
          <w:p w:rsidR="0040193B" w:rsidRDefault="0040193B" w:rsidP="006F5766">
            <w:r>
              <w:t>12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Partition</w:t>
            </w:r>
          </w:p>
        </w:tc>
        <w:tc>
          <w:tcPr>
            <w:tcW w:w="457" w:type="dxa"/>
          </w:tcPr>
          <w:p w:rsidR="0040193B" w:rsidRDefault="0040193B" w:rsidP="006F5766">
            <w:r>
              <w:t>13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Relations</w:t>
            </w:r>
          </w:p>
        </w:tc>
        <w:tc>
          <w:tcPr>
            <w:tcW w:w="457" w:type="dxa"/>
          </w:tcPr>
          <w:p w:rsidR="0040193B" w:rsidRDefault="0040193B" w:rsidP="006F5766">
            <w:r>
              <w:t>14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Représentation des relations</w:t>
            </w:r>
          </w:p>
        </w:tc>
        <w:tc>
          <w:tcPr>
            <w:tcW w:w="457" w:type="dxa"/>
          </w:tcPr>
          <w:p w:rsidR="0040193B" w:rsidRDefault="0040193B" w:rsidP="006F5766">
            <w:r>
              <w:t>17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Propriétés des relations (</w:t>
            </w:r>
            <w:proofErr w:type="spellStart"/>
            <w:r>
              <w:t>ref</w:t>
            </w:r>
            <w:proofErr w:type="spellEnd"/>
            <w:r>
              <w:t xml:space="preserve">, </w:t>
            </w:r>
            <w:proofErr w:type="spellStart"/>
            <w:r>
              <w:t>sym</w:t>
            </w:r>
            <w:proofErr w:type="spellEnd"/>
            <w:r>
              <w:t>, tr)</w:t>
            </w:r>
          </w:p>
        </w:tc>
        <w:tc>
          <w:tcPr>
            <w:tcW w:w="457" w:type="dxa"/>
          </w:tcPr>
          <w:p w:rsidR="0040193B" w:rsidRDefault="0040193B" w:rsidP="006F5766">
            <w:r>
              <w:t>18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Opérations sur les relations (inter, union, composition, clôture tr)</w:t>
            </w:r>
          </w:p>
        </w:tc>
        <w:tc>
          <w:tcPr>
            <w:tcW w:w="457" w:type="dxa"/>
          </w:tcPr>
          <w:p w:rsidR="0040193B" w:rsidRDefault="0040193B" w:rsidP="006F5766">
            <w:r>
              <w:t>19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Relations d’équivalence</w:t>
            </w:r>
          </w:p>
        </w:tc>
        <w:tc>
          <w:tcPr>
            <w:tcW w:w="457" w:type="dxa"/>
          </w:tcPr>
          <w:p w:rsidR="0040193B" w:rsidRDefault="0040193B" w:rsidP="006F5766">
            <w:r>
              <w:t>21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Relations d’ordre</w:t>
            </w:r>
          </w:p>
        </w:tc>
        <w:tc>
          <w:tcPr>
            <w:tcW w:w="457" w:type="dxa"/>
          </w:tcPr>
          <w:p w:rsidR="0040193B" w:rsidRDefault="0040193B" w:rsidP="006F5766">
            <w:r>
              <w:t>22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Treillis (</w:t>
            </w:r>
            <w:proofErr w:type="spellStart"/>
            <w:r>
              <w:t>lol</w:t>
            </w:r>
            <w:proofErr w:type="spellEnd"/>
            <w:r>
              <w:t>)</w:t>
            </w:r>
          </w:p>
        </w:tc>
        <w:tc>
          <w:tcPr>
            <w:tcW w:w="457" w:type="dxa"/>
          </w:tcPr>
          <w:p w:rsidR="0040193B" w:rsidRDefault="0040193B" w:rsidP="006F5766">
            <w:r>
              <w:t>26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Fonctions</w:t>
            </w:r>
          </w:p>
        </w:tc>
        <w:tc>
          <w:tcPr>
            <w:tcW w:w="457" w:type="dxa"/>
          </w:tcPr>
          <w:p w:rsidR="0040193B" w:rsidRDefault="0040193B" w:rsidP="006F5766">
            <w:r>
              <w:t>29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Cardinaux et dénombrabilité</w:t>
            </w:r>
          </w:p>
        </w:tc>
        <w:tc>
          <w:tcPr>
            <w:tcW w:w="457" w:type="dxa"/>
          </w:tcPr>
          <w:p w:rsidR="0040193B" w:rsidRDefault="0040193B" w:rsidP="006F5766">
            <w:r>
              <w:t>31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Ensembles finis</w:t>
            </w:r>
          </w:p>
        </w:tc>
        <w:tc>
          <w:tcPr>
            <w:tcW w:w="457" w:type="dxa"/>
          </w:tcPr>
          <w:p w:rsidR="0040193B" w:rsidRDefault="0040193B" w:rsidP="006F5766">
            <w:r>
              <w:t>32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   </w:t>
            </w:r>
            <w:r>
              <w:t xml:space="preserve">  </w:t>
            </w:r>
            <w:r>
              <w:t>Propriétés (cardinal, injection/surjection/bijection)</w:t>
            </w:r>
          </w:p>
        </w:tc>
        <w:tc>
          <w:tcPr>
            <w:tcW w:w="457" w:type="dxa"/>
          </w:tcPr>
          <w:p w:rsidR="0040193B" w:rsidRDefault="0040193B" w:rsidP="006F5766">
            <w:r>
              <w:t>32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 xml:space="preserve">  </w:t>
            </w:r>
            <w:r>
              <w:t xml:space="preserve"> </w:t>
            </w:r>
            <w:r>
              <w:t>Ensembles infinis (dénombrabilité)</w:t>
            </w:r>
          </w:p>
        </w:tc>
        <w:tc>
          <w:tcPr>
            <w:tcW w:w="457" w:type="dxa"/>
          </w:tcPr>
          <w:p w:rsidR="0040193B" w:rsidRDefault="0040193B" w:rsidP="006F5766">
            <w:r>
              <w:t>33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Principes d’induction</w:t>
            </w:r>
          </w:p>
        </w:tc>
        <w:tc>
          <w:tcPr>
            <w:tcW w:w="457" w:type="dxa"/>
          </w:tcPr>
          <w:p w:rsidR="0040193B" w:rsidRDefault="0040193B" w:rsidP="006F5766">
            <w:r>
              <w:t>37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  <w:tr w:rsidR="0040193B" w:rsidTr="0040193B">
        <w:tc>
          <w:tcPr>
            <w:tcW w:w="8755" w:type="dxa"/>
          </w:tcPr>
          <w:p w:rsidR="0040193B" w:rsidRDefault="0040193B" w:rsidP="006F5766">
            <w:r>
              <w:t>Logique/Logique des Propositions</w:t>
            </w:r>
          </w:p>
        </w:tc>
        <w:tc>
          <w:tcPr>
            <w:tcW w:w="457" w:type="dxa"/>
          </w:tcPr>
          <w:p w:rsidR="0040193B" w:rsidRDefault="0040193B" w:rsidP="006F5766">
            <w:r>
              <w:t>43</w:t>
            </w:r>
          </w:p>
        </w:tc>
      </w:tr>
      <w:tr w:rsidR="0040193B" w:rsidTr="0040193B">
        <w:tc>
          <w:tcPr>
            <w:tcW w:w="8755" w:type="dxa"/>
          </w:tcPr>
          <w:p w:rsidR="0040193B" w:rsidRDefault="0040193B" w:rsidP="006F5766"/>
        </w:tc>
        <w:tc>
          <w:tcPr>
            <w:tcW w:w="457" w:type="dxa"/>
          </w:tcPr>
          <w:p w:rsidR="0040193B" w:rsidRDefault="0040193B" w:rsidP="006F5766"/>
        </w:tc>
      </w:tr>
    </w:tbl>
    <w:p w:rsidR="0040193B" w:rsidRDefault="0040193B" w:rsidP="0040193B">
      <w:pPr>
        <w:jc w:val="both"/>
      </w:pPr>
    </w:p>
    <w:sectPr w:rsidR="0040193B" w:rsidSect="00FF5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36A1"/>
    <w:rsid w:val="000C5EB8"/>
    <w:rsid w:val="0026437A"/>
    <w:rsid w:val="002973E1"/>
    <w:rsid w:val="0040193B"/>
    <w:rsid w:val="005A7919"/>
    <w:rsid w:val="0071756C"/>
    <w:rsid w:val="00A808F2"/>
    <w:rsid w:val="00E936A1"/>
    <w:rsid w:val="00FC30A6"/>
    <w:rsid w:val="00FF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A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3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Permanencier</dc:creator>
  <cp:lastModifiedBy>Permanencier</cp:lastModifiedBy>
  <cp:revision>1</cp:revision>
  <cp:lastPrinted>2011-11-29T14:01:00Z</cp:lastPrinted>
  <dcterms:created xsi:type="dcterms:W3CDTF">2011-11-29T13:33:00Z</dcterms:created>
  <dcterms:modified xsi:type="dcterms:W3CDTF">2011-11-29T14:01:00Z</dcterms:modified>
</cp:coreProperties>
</file>