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CF5C7" w14:textId="3012D102" w:rsidR="006D141E" w:rsidRDefault="00291AE0" w:rsidP="00B34990">
      <w:pPr>
        <w:pStyle w:val="Titre1"/>
        <w:jc w:val="both"/>
      </w:pPr>
      <w:r>
        <w:t xml:space="preserve">Divers </w:t>
      </w:r>
      <w:r w:rsidR="006D141E">
        <w:t>:</w:t>
      </w:r>
    </w:p>
    <w:p w14:paraId="71A310C6" w14:textId="41C768A4" w:rsidR="006D141E" w:rsidRDefault="006777E0" w:rsidP="00B34990">
      <w:pPr>
        <w:pStyle w:val="Niveauducommentaire2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</w:p>
    <w:p w14:paraId="74C97A9D" w14:textId="660DD368" w:rsidR="00D756FA" w:rsidRDefault="008543D0" w:rsidP="00B34990">
      <w:pPr>
        <w:pStyle w:val="Niveauducommentaire2"/>
        <w:jc w:val="both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*2</m:t>
                </m:r>
              </m:sup>
            </m:sSup>
          </m:e>
        </m:d>
        <m:r>
          <w:rPr>
            <w:rFonts w:ascii="Cambria Math" w:hAnsi="Cambria Math"/>
          </w:rPr>
          <m:t>=Var(X)</m:t>
        </m:r>
      </m:oMath>
    </w:p>
    <w:p w14:paraId="5CE90BD9" w14:textId="048EDC71" w:rsidR="00291AE0" w:rsidRPr="006D141E" w:rsidRDefault="00291AE0" w:rsidP="00B34990">
      <w:pPr>
        <w:pStyle w:val="Niveauducommentaire2"/>
        <w:jc w:val="both"/>
      </w:pPr>
      <w:r>
        <w:t xml:space="preserve">Une somme de lois normales centrées-réduites suit une loi 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F0DEE">
        <w:t>.</w:t>
      </w:r>
    </w:p>
    <w:p w14:paraId="5F3535D0" w14:textId="17B37B37" w:rsidR="00A738E2" w:rsidRDefault="00A738E2" w:rsidP="00B34990">
      <w:pPr>
        <w:pStyle w:val="Titre1"/>
        <w:jc w:val="both"/>
      </w:pPr>
    </w:p>
    <w:p w14:paraId="05E33B88" w14:textId="3A83BFC1" w:rsidR="00E75087" w:rsidRDefault="00E75087" w:rsidP="00B34990">
      <w:pPr>
        <w:pStyle w:val="Titre1"/>
        <w:jc w:val="both"/>
      </w:pPr>
      <w:r>
        <w:t>Fonction de vraisemblance :</w:t>
      </w:r>
    </w:p>
    <w:p w14:paraId="6B601206" w14:textId="19B5CFAA" w:rsidR="00E75087" w:rsidRPr="00E75087" w:rsidRDefault="00E75087" w:rsidP="00B34990">
      <w:pPr>
        <w:pStyle w:val="Niveauducommentaire2"/>
        <w:jc w:val="both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 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372FF5A6" w14:textId="7E254304" w:rsidR="00E75087" w:rsidRPr="00E75087" w:rsidRDefault="00E75087" w:rsidP="00B34990">
      <w:pPr>
        <w:pStyle w:val="Niveauducommentaire2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si v</m:t>
                </m:r>
                <m:r>
                  <w:rPr>
                    <w:rFonts w:ascii="Cambria Math" w:hAnsi="Cambria Math"/>
                  </w:rPr>
                  <m:t>ariable continue&amp;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si variable discrète</m:t>
                </m:r>
              </m:e>
            </m:eqArr>
          </m:e>
        </m:d>
      </m:oMath>
    </w:p>
    <w:p w14:paraId="1758083D" w14:textId="77777777" w:rsidR="00A738E2" w:rsidRDefault="00A738E2" w:rsidP="00B34990">
      <w:pPr>
        <w:pStyle w:val="Titre1"/>
        <w:jc w:val="both"/>
      </w:pPr>
    </w:p>
    <w:p w14:paraId="1C05DA97" w14:textId="41792D49" w:rsidR="00DE72F6" w:rsidRDefault="009750A7" w:rsidP="00B34990">
      <w:pPr>
        <w:pStyle w:val="Titre1"/>
        <w:jc w:val="both"/>
      </w:pPr>
      <w:r>
        <w:t>Rapport de vraisemblance :</w:t>
      </w:r>
    </w:p>
    <w:p w14:paraId="4DD2157B" w14:textId="64E4DBF0" w:rsidR="00E0087C" w:rsidRDefault="00E0087C" w:rsidP="00B34990">
      <w:pPr>
        <w:pStyle w:val="Niveauducommentaire2"/>
        <w:jc w:val="both"/>
      </w:pPr>
      <w:r>
        <w:t xml:space="preserve">Fonction de vraisemblance 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θ </m:t>
            </m:r>
            <w:proofErr w:type="gramStart"/>
            <m:r>
              <w:rPr>
                <w:rFonts w:ascii="Cambria Math" w:hAnsi="Cambria Math"/>
              </w:rPr>
              <m:t>;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 × f(θ;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0851B55A" w14:textId="4F38B705" w:rsidR="00E0087C" w:rsidRDefault="00E0087C" w:rsidP="00B34990">
      <w:pPr>
        <w:pStyle w:val="Niveauducommentaire2"/>
        <w:jc w:val="both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L(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1C8A4218" w14:textId="61F81A47" w:rsidR="0064088C" w:rsidRPr="00E0087C" w:rsidRDefault="0064088C" w:rsidP="00B34990">
      <w:pPr>
        <w:pStyle w:val="Niveauducommentaire2"/>
        <w:jc w:val="both"/>
      </w:pPr>
      <w:r>
        <w:t>Statistiq</w:t>
      </w:r>
      <w:r w:rsidR="00C920D0">
        <w:t>ue du rapport de vraisemblance</w:t>
      </w:r>
      <w:r>
        <w:t> :</w:t>
      </w:r>
    </w:p>
    <w:p w14:paraId="192489C8" w14:textId="77777777" w:rsidR="00A738E2" w:rsidRDefault="00A738E2" w:rsidP="00B34990">
      <w:pPr>
        <w:pStyle w:val="Titre1"/>
        <w:jc w:val="both"/>
      </w:pPr>
    </w:p>
    <w:p w14:paraId="131DFA04" w14:textId="044BDD29" w:rsidR="00B60888" w:rsidRDefault="00B60888" w:rsidP="00B34990">
      <w:pPr>
        <w:pStyle w:val="Titre1"/>
        <w:jc w:val="both"/>
      </w:pPr>
      <w:r>
        <w:t>Information de Fischer :</w:t>
      </w:r>
    </w:p>
    <w:p w14:paraId="10D72740" w14:textId="2C3D997E" w:rsidR="002262ED" w:rsidRDefault="006777E0" w:rsidP="00B34990">
      <w:pPr>
        <w:pStyle w:val="Niveauducommentaire2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 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</w:p>
    <w:p w14:paraId="52363F61" w14:textId="77777777" w:rsidR="002262ED" w:rsidRDefault="002262ED" w:rsidP="00B34990">
      <w:pPr>
        <w:pStyle w:val="Titre1"/>
        <w:jc w:val="both"/>
      </w:pPr>
    </w:p>
    <w:p w14:paraId="3078C0E9" w14:textId="37A212E5" w:rsidR="002262ED" w:rsidRDefault="002262ED" w:rsidP="00B34990">
      <w:pPr>
        <w:pStyle w:val="Titre1"/>
        <w:jc w:val="both"/>
      </w:pPr>
      <w:r>
        <w:t>Borne de Fréchet :</w:t>
      </w:r>
    </w:p>
    <w:p w14:paraId="574690D1" w14:textId="3F19D1C2" w:rsidR="002262ED" w:rsidRPr="002262ED" w:rsidRDefault="006777E0" w:rsidP="00B34990">
      <w:pPr>
        <w:pStyle w:val="Niveauducommentaire2"/>
        <w:jc w:val="both"/>
        <w:rPr>
          <w:rFonts w:ascii="Verdana" w:hAnsi="Verdan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den>
        </m:f>
      </m:oMath>
    </w:p>
    <w:p w14:paraId="1E9C0E46" w14:textId="77777777" w:rsidR="003B0370" w:rsidRDefault="002262ED" w:rsidP="00B34990">
      <w:pPr>
        <w:pStyle w:val="Niveauducommentaire2"/>
        <w:jc w:val="both"/>
      </w:pPr>
      <w:r>
        <w:t>La variance d’un estimateur efficace est égale à la borne de Fréchet du paramètre associé.</w:t>
      </w:r>
    </w:p>
    <w:p w14:paraId="270A761C" w14:textId="77777777" w:rsidR="003B0370" w:rsidRDefault="003B0370" w:rsidP="00B34990">
      <w:pPr>
        <w:pStyle w:val="Niveauducommentaire1"/>
        <w:jc w:val="both"/>
      </w:pPr>
    </w:p>
    <w:p w14:paraId="5E19D7C6" w14:textId="0B7CEB87" w:rsidR="003B0370" w:rsidRDefault="003B0370" w:rsidP="00B34990">
      <w:pPr>
        <w:pStyle w:val="Titre1"/>
        <w:jc w:val="both"/>
      </w:pPr>
      <w:bookmarkStart w:id="0" w:name="_GoBack"/>
      <w:r>
        <w:t>Intervalles de confiance</w:t>
      </w:r>
      <w:r w:rsidR="00CE4EFB">
        <w:t> :</w:t>
      </w:r>
    </w:p>
    <w:p w14:paraId="3622D20A" w14:textId="6C943DAC" w:rsidR="003B0370" w:rsidRDefault="003B0370" w:rsidP="00B34990">
      <w:pPr>
        <w:pStyle w:val="Niveauducommentaire2"/>
        <w:jc w:val="both"/>
      </w:pPr>
      <w:r>
        <w:t>1-</w:t>
      </w:r>
      <w:r>
        <w:rPr>
          <w:rFonts w:hint="eastAsia"/>
        </w:rPr>
        <w:t>α</w:t>
      </w:r>
      <w:r>
        <w:t xml:space="preserve"> = </w:t>
      </w:r>
      <w:proofErr w:type="gramStart"/>
      <w:r>
        <w:t>p(</w:t>
      </w:r>
      <w:proofErr w:type="gramEnd"/>
      <w:r>
        <w:t>fractile bas &lt; fonction pivotale &lt; fractile haut)</w:t>
      </w:r>
    </w:p>
    <w:p w14:paraId="0E0EE520" w14:textId="77777777" w:rsidR="003B0370" w:rsidRDefault="003B0370" w:rsidP="00B34990">
      <w:pPr>
        <w:pStyle w:val="Niveauducommentaire2"/>
        <w:jc w:val="both"/>
      </w:pPr>
      <w:r>
        <w:t xml:space="preserve">La fonction pivotale suit une loi normale </w:t>
      </w:r>
    </w:p>
    <w:p w14:paraId="3202F514" w14:textId="2E2F6577" w:rsidR="003B0370" w:rsidRPr="003B0370" w:rsidRDefault="003B0370" w:rsidP="00B34990">
      <w:pPr>
        <w:pStyle w:val="Niveauducommentaire3"/>
        <w:jc w:val="both"/>
      </w:pPr>
      <w:r>
        <w:t xml:space="preserve">Fractile bas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</w:t>
      </w:r>
    </w:p>
    <w:p w14:paraId="0CB957DA" w14:textId="755655E0" w:rsidR="003B0370" w:rsidRDefault="003B0370" w:rsidP="00B34990">
      <w:pPr>
        <w:pStyle w:val="Niveauducommentaire3"/>
        <w:jc w:val="both"/>
      </w:pPr>
      <w:r>
        <w:t xml:space="preserve">Fractile haut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C2961CC" w14:textId="5FFC54F6" w:rsidR="00CE4EFB" w:rsidRDefault="00CE4EFB" w:rsidP="00B34990">
      <w:pPr>
        <w:pStyle w:val="Niveauducommentaire2"/>
        <w:jc w:val="both"/>
      </w:pPr>
      <w:r>
        <w:t>La fonction pivotale suit une loi de Student</w:t>
      </w:r>
    </w:p>
    <w:p w14:paraId="5EC8FF70" w14:textId="5B631D8A" w:rsidR="00CE4EFB" w:rsidRDefault="00CE4EFB" w:rsidP="00B34990">
      <w:pPr>
        <w:pStyle w:val="Niveauducommentaire3"/>
        <w:jc w:val="both"/>
      </w:pPr>
      <w:r>
        <w:t xml:space="preserve">Fractile bas 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n-1;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 </m:t>
        </m:r>
      </m:oMath>
    </w:p>
    <w:p w14:paraId="6F1290CB" w14:textId="39D1CD0B" w:rsidR="00CE4EFB" w:rsidRDefault="00CE4EFB" w:rsidP="00B34990">
      <w:pPr>
        <w:pStyle w:val="Niveauducommentaire3"/>
        <w:jc w:val="both"/>
      </w:pPr>
      <w:r>
        <w:t>Fractile haut</w:t>
      </w:r>
      <w:r w:rsidR="00871E2D">
        <w:t> :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n-1;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574B57C" w14:textId="06D582EB" w:rsidR="00871E2D" w:rsidRDefault="00871E2D" w:rsidP="00871E2D">
      <w:pPr>
        <w:pStyle w:val="Niveauducommentaire2"/>
      </w:pPr>
      <w:r>
        <w:t>La fonction pivotale suit une loi du chideux à n degré de liberté :</w:t>
      </w:r>
    </w:p>
    <w:p w14:paraId="480C2C57" w14:textId="50CB74D8" w:rsidR="00871E2D" w:rsidRDefault="00871E2D" w:rsidP="00871E2D">
      <w:pPr>
        <w:pStyle w:val="Niveauducommentaire3"/>
      </w:pPr>
      <w:r>
        <w:t xml:space="preserve">Fractile bas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 </m:t>
            </m:r>
            <w:proofErr w:type="gramStart"/>
            <m:r>
              <w:rPr>
                <w:rFonts w:ascii="Cambria Math" w:hAnsi="Cambria Math"/>
              </w:rPr>
              <m:t>;</m:t>
            </m:r>
            <w:proofErr w:type="gramEnd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 xml:space="preserve"> 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B85D3C2" w14:textId="1FA1E4E8" w:rsidR="00871E2D" w:rsidRDefault="00871E2D" w:rsidP="00871E2D">
      <w:pPr>
        <w:pStyle w:val="Niveauducommentaire3"/>
      </w:pPr>
      <w:r>
        <w:t xml:space="preserve">Fractile haut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 ;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bookmarkEnd w:id="0"/>
    <w:p w14:paraId="2A99867C" w14:textId="77777777" w:rsidR="00CE4EFB" w:rsidRPr="003B0370" w:rsidRDefault="00CE4EFB" w:rsidP="00871E2D">
      <w:pPr>
        <w:pStyle w:val="Niveauducommentaire3"/>
        <w:numPr>
          <w:ilvl w:val="0"/>
          <w:numId w:val="0"/>
        </w:numPr>
        <w:ind w:left="1800"/>
        <w:sectPr w:rsidR="00CE4EFB" w:rsidRPr="003B0370" w:rsidSect="00DE72F6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BD7252C" w14:textId="77777777" w:rsidR="008766B8" w:rsidRDefault="008766B8" w:rsidP="00B34990">
      <w:pPr>
        <w:pStyle w:val="Titre1"/>
        <w:jc w:val="both"/>
      </w:pPr>
      <w:r>
        <w:t>Risque</w:t>
      </w:r>
    </w:p>
    <w:p w14:paraId="198CB379" w14:textId="14CF7795" w:rsidR="008766B8" w:rsidRDefault="008766B8" w:rsidP="00B34990">
      <w:pPr>
        <w:pStyle w:val="Niveauducommentaire2"/>
        <w:jc w:val="both"/>
      </w:pPr>
      <w:r>
        <w:t>Première espèce : rejeter H</w:t>
      </w:r>
      <w:r>
        <w:rPr>
          <w:vertAlign w:val="subscript"/>
        </w:rPr>
        <w:t>0</w:t>
      </w:r>
      <w:r>
        <w:t xml:space="preserve"> alors qu’elle est vraie.</w:t>
      </w:r>
      <w:r w:rsidR="00DA13B7">
        <w:t xml:space="preserve"> </w:t>
      </w:r>
    </w:p>
    <w:p w14:paraId="7A2138B4" w14:textId="307176CB" w:rsidR="008766B8" w:rsidRDefault="008766B8" w:rsidP="00B34990">
      <w:pPr>
        <w:pStyle w:val="Niveauducommentaire2"/>
        <w:jc w:val="both"/>
      </w:pPr>
      <w:r>
        <w:t>Deuxième espèce : accepter H</w:t>
      </w:r>
      <w:r>
        <w:rPr>
          <w:vertAlign w:val="subscript"/>
        </w:rPr>
        <w:t>0</w:t>
      </w:r>
      <w:r>
        <w:t xml:space="preserve"> alors qu’elle est fausse.</w:t>
      </w:r>
    </w:p>
    <w:p w14:paraId="41EEE26F" w14:textId="77777777" w:rsidR="008766B8" w:rsidRDefault="008766B8" w:rsidP="00B34990">
      <w:pPr>
        <w:pStyle w:val="Titre1"/>
        <w:jc w:val="both"/>
      </w:pPr>
    </w:p>
    <w:p w14:paraId="168E1EBA" w14:textId="171B9E18" w:rsidR="008766B8" w:rsidRDefault="008766B8" w:rsidP="00B34990">
      <w:pPr>
        <w:pStyle w:val="Titre1"/>
        <w:jc w:val="both"/>
      </w:pPr>
      <w:r>
        <w:t>Puissance d’un test</w:t>
      </w:r>
    </w:p>
    <w:p w14:paraId="653D7EAA" w14:textId="77777777" w:rsidR="008766B8" w:rsidRPr="00A1226A" w:rsidRDefault="008766B8" w:rsidP="00B34990">
      <w:pPr>
        <w:pStyle w:val="Niveauducommentaire2"/>
        <w:jc w:val="both"/>
      </w:pPr>
      <w:r>
        <w:t>P</w:t>
      </w:r>
      <w:r w:rsidRPr="00A1226A">
        <w:t>robabilité de rejeter l'hypothèse</w:t>
      </w:r>
      <w:r>
        <w:t xml:space="preserve"> </w:t>
      </w:r>
      <w:r w:rsidRPr="00A1226A">
        <w:t>nulle à rai</w:t>
      </w:r>
      <w:r>
        <w:t>son c'est-à-dire lorsqu'on est “en vérité”</w:t>
      </w:r>
      <w:r w:rsidRPr="00A1226A">
        <w:t xml:space="preserve"> dans le cadre de l'hypothèse</w:t>
      </w:r>
      <w:r>
        <w:t xml:space="preserve"> </w:t>
      </w:r>
      <w:r w:rsidRPr="00A1226A">
        <w:t>alternative.</w:t>
      </w:r>
    </w:p>
    <w:p w14:paraId="03312956" w14:textId="77777777" w:rsidR="008766B8" w:rsidRDefault="008766B8" w:rsidP="00B34990">
      <w:pPr>
        <w:pStyle w:val="Niveauducommentaire2"/>
        <w:jc w:val="both"/>
      </w:pPr>
      <w:r w:rsidRPr="00A1226A">
        <w:t>La puissance du test est do</w:t>
      </w:r>
      <w:r>
        <w:t xml:space="preserve">nc le complément de l'erreur de deuxième espèce </w:t>
      </w:r>
      <w:r w:rsidRPr="00A1226A">
        <w:t xml:space="preserve">β. On la note 1 </w:t>
      </w:r>
      <w:r>
        <w:t>–</w:t>
      </w:r>
      <w:r w:rsidRPr="00A1226A">
        <w:t xml:space="preserve"> β</w:t>
      </w:r>
      <w:r>
        <w:t xml:space="preserve"> ou π.</w:t>
      </w:r>
    </w:p>
    <w:p w14:paraId="100B7919" w14:textId="77777777" w:rsidR="008766B8" w:rsidRPr="00BA0D43" w:rsidRDefault="008766B8" w:rsidP="00B34990">
      <w:pPr>
        <w:pStyle w:val="Niveauducommentaire2"/>
        <w:jc w:val="both"/>
        <w:rPr>
          <w:color w:val="E36C0A" w:themeColor="accent6" w:themeShade="BF"/>
        </w:rPr>
      </w:pPr>
      <w:r w:rsidRPr="00BA0D43">
        <w:rPr>
          <w:color w:val="E36C0A" w:themeColor="accent6" w:themeShade="BF"/>
        </w:rPr>
        <w:t>π=</w:t>
      </w:r>
      <w:proofErr w:type="gramStart"/>
      <w:r w:rsidRPr="00BA0D43">
        <w:rPr>
          <w:color w:val="E36C0A" w:themeColor="accent6" w:themeShade="BF"/>
        </w:rPr>
        <w:t>p(</w:t>
      </w:r>
      <w:proofErr w:type="gramEnd"/>
      <w:r w:rsidRPr="00BA0D43">
        <w:rPr>
          <w:color w:val="E36C0A" w:themeColor="accent6" w:themeShade="BF"/>
        </w:rPr>
        <w:t>W|H</w:t>
      </w:r>
      <w:r w:rsidRPr="00BA0D43">
        <w:rPr>
          <w:color w:val="E36C0A" w:themeColor="accent6" w:themeShade="BF"/>
          <w:vertAlign w:val="subscript"/>
        </w:rPr>
        <w:t>1</w:t>
      </w:r>
      <w:r w:rsidRPr="00BA0D43">
        <w:rPr>
          <w:color w:val="E36C0A" w:themeColor="accent6" w:themeShade="BF"/>
        </w:rPr>
        <w:t>)</w:t>
      </w:r>
    </w:p>
    <w:p w14:paraId="2331780C" w14:textId="77777777" w:rsidR="008766B8" w:rsidRDefault="008766B8" w:rsidP="00B34990">
      <w:pPr>
        <w:pStyle w:val="Titre1"/>
        <w:jc w:val="both"/>
      </w:pPr>
    </w:p>
    <w:p w14:paraId="3346709D" w14:textId="0E3BAA0C" w:rsidR="009750A7" w:rsidRDefault="00A1226A" w:rsidP="00B34990">
      <w:pPr>
        <w:pStyle w:val="Titre1"/>
        <w:jc w:val="both"/>
      </w:pPr>
      <w:r>
        <w:t>Tests</w:t>
      </w:r>
    </w:p>
    <w:p w14:paraId="305AFF7E" w14:textId="198A7B2C" w:rsidR="009750A7" w:rsidRDefault="005019B8" w:rsidP="00B34990">
      <w:pPr>
        <w:pStyle w:val="Niveauducommentaire2"/>
        <w:jc w:val="both"/>
      </w:pPr>
      <w:r>
        <w:t xml:space="preserve">Test </w:t>
      </w:r>
      <w:r w:rsidR="007C56C3">
        <w:t>du rapport de vraisemblance</w:t>
      </w:r>
    </w:p>
    <w:p w14:paraId="70A40F83" w14:textId="50F27294" w:rsidR="007C56C3" w:rsidRDefault="007C56C3" w:rsidP="00B34990">
      <w:pPr>
        <w:pStyle w:val="Niveauducommentaire3"/>
        <w:jc w:val="both"/>
      </w:pPr>
      <w:r>
        <w:t>Ce test est le plus puissant</w:t>
      </w:r>
    </w:p>
    <w:p w14:paraId="2E08510D" w14:textId="5139372A" w:rsidR="009750A7" w:rsidRDefault="007726AB" w:rsidP="00B34990">
      <w:pPr>
        <w:pStyle w:val="Niveauducommentaire3"/>
        <w:jc w:val="both"/>
      </w:pPr>
      <w:r>
        <w:t>λ</w:t>
      </w:r>
      <w:r w:rsidR="009750A7">
        <w:t xml:space="preserve"> : rapport de </w:t>
      </w:r>
      <w:r w:rsidR="005019B8">
        <w:t>vraisemblance</w:t>
      </w:r>
    </w:p>
    <w:p w14:paraId="101A361E" w14:textId="257086AC" w:rsidR="009750A7" w:rsidRPr="005F47DE" w:rsidRDefault="009750A7" w:rsidP="00B34990">
      <w:pPr>
        <w:pStyle w:val="Niveauducommentaire3"/>
        <w:jc w:val="both"/>
        <w:rPr>
          <w:rFonts w:ascii="Cambria Math" w:hAnsi="Cambria Math" w:hint="eastAsia"/>
          <w:i/>
          <w:color w:val="E36C0A" w:themeColor="accent6" w:themeShade="BF"/>
        </w:rPr>
      </w:pPr>
      <w:r w:rsidRPr="005F47DE">
        <w:rPr>
          <w:rFonts w:ascii="Cambria Math" w:hAnsi="Cambria Math"/>
          <w:i/>
          <w:color w:val="E36C0A" w:themeColor="accent6" w:themeShade="BF"/>
        </w:rPr>
        <w:t>W</w:t>
      </w:r>
      <w:proofErr w:type="gramStart"/>
      <w:r w:rsidRPr="005F47DE">
        <w:rPr>
          <w:rFonts w:ascii="Cambria Math" w:hAnsi="Cambria Math"/>
          <w:i/>
          <w:color w:val="E36C0A" w:themeColor="accent6" w:themeShade="BF"/>
        </w:rPr>
        <w:t>={</w:t>
      </w:r>
      <w:proofErr w:type="gramEnd"/>
      <w:r w:rsidRPr="005F47DE">
        <w:rPr>
          <w:rFonts w:ascii="Cambria Math" w:hAnsi="Cambria Math"/>
          <w:i/>
          <w:color w:val="E36C0A" w:themeColor="accent6" w:themeShade="BF"/>
        </w:rPr>
        <w:t>λ&lt;c}</w:t>
      </w:r>
    </w:p>
    <w:p w14:paraId="7EE8BCD0" w14:textId="77777777" w:rsidR="007726AB" w:rsidRPr="00BA0D43" w:rsidRDefault="00E0087C" w:rsidP="00B34990">
      <w:pPr>
        <w:pStyle w:val="Niveauducommentaire3"/>
        <w:jc w:val="both"/>
        <w:rPr>
          <w:color w:val="E36C0A" w:themeColor="accent6" w:themeShade="BF"/>
        </w:rPr>
      </w:pPr>
      <w:proofErr w:type="gramStart"/>
      <w:r w:rsidRPr="005F47DE">
        <w:rPr>
          <w:rFonts w:ascii="Cambria Math" w:hAnsi="Cambria Math"/>
          <w:i/>
          <w:color w:val="E36C0A" w:themeColor="accent6" w:themeShade="BF"/>
        </w:rPr>
        <w:t>p</w:t>
      </w:r>
      <w:r w:rsidR="009750A7" w:rsidRPr="005F47DE">
        <w:rPr>
          <w:rFonts w:ascii="Cambria Math" w:hAnsi="Cambria Math"/>
          <w:i/>
          <w:color w:val="E36C0A" w:themeColor="accent6" w:themeShade="BF"/>
        </w:rPr>
        <w:t>(</w:t>
      </w:r>
      <w:proofErr w:type="gramEnd"/>
      <w:r w:rsidR="009750A7" w:rsidRPr="005F47DE">
        <w:rPr>
          <w:rFonts w:ascii="Cambria Math" w:hAnsi="Cambria Math"/>
          <w:i/>
          <w:color w:val="E36C0A" w:themeColor="accent6" w:themeShade="BF"/>
        </w:rPr>
        <w:t>λ&lt;c|H</w:t>
      </w:r>
      <w:r w:rsidR="009750A7" w:rsidRPr="005F47DE">
        <w:rPr>
          <w:rFonts w:ascii="Cambria Math" w:hAnsi="Cambria Math"/>
          <w:i/>
          <w:color w:val="E36C0A" w:themeColor="accent6" w:themeShade="BF"/>
          <w:vertAlign w:val="subscript"/>
        </w:rPr>
        <w:t>0</w:t>
      </w:r>
      <w:r w:rsidR="00A1226A" w:rsidRPr="005F47DE">
        <w:rPr>
          <w:rFonts w:ascii="Cambria Math" w:hAnsi="Cambria Math"/>
          <w:i/>
          <w:color w:val="E36C0A" w:themeColor="accent6" w:themeShade="BF"/>
        </w:rPr>
        <w:t>)=α</w:t>
      </w:r>
      <w:r w:rsidR="007726AB" w:rsidRPr="00BA0D43">
        <w:rPr>
          <w:color w:val="E36C0A" w:themeColor="accent6" w:themeShade="BF"/>
        </w:rPr>
        <w:t>*</w:t>
      </w:r>
    </w:p>
    <w:p w14:paraId="6BA5DD78" w14:textId="77777777" w:rsidR="001B5025" w:rsidRDefault="007726AB" w:rsidP="00B34990">
      <w:pPr>
        <w:pStyle w:val="Niveauducommentaire2"/>
        <w:jc w:val="both"/>
      </w:pPr>
      <w:r>
        <w:t>Test du χ</w:t>
      </w:r>
      <w:r>
        <w:rPr>
          <w:vertAlign w:val="superscript"/>
        </w:rPr>
        <w:t>2</w:t>
      </w:r>
    </w:p>
    <w:p w14:paraId="57A09B43" w14:textId="311221D0" w:rsidR="00590C63" w:rsidRPr="004D129F" w:rsidRDefault="00EE436E" w:rsidP="00B34990">
      <w:pPr>
        <w:pStyle w:val="Niveauducommentaire3"/>
        <w:jc w:val="both"/>
        <w:rPr>
          <w:color w:val="E36C0A" w:themeColor="accent6" w:themeShade="BF"/>
        </w:rPr>
      </w:pPr>
      <m:oMath>
        <m:r>
          <w:rPr>
            <w:rFonts w:ascii="Cambria Math" w:hAnsi="Cambria Math"/>
            <w:color w:val="E36C0A" w:themeColor="accent6" w:themeShade="BF"/>
          </w:rPr>
          <m:t>W={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D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&gt;</m:t>
        </m:r>
        <m:sSubSup>
          <m:sSub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bSupPr>
          <m:e>
            <m:r>
              <w:rPr>
                <w:rFonts w:ascii="Cambria Math" w:hAnsi="Cambria Math"/>
                <w:color w:val="E36C0A" w:themeColor="accent6" w:themeShade="BF"/>
              </w:rPr>
              <m:t>χ</m:t>
            </m:r>
          </m:e>
          <m:sub>
            <m:r>
              <w:rPr>
                <w:rFonts w:ascii="Cambria Math" w:hAnsi="Cambria Math"/>
                <w:color w:val="E36C0A" w:themeColor="accent6" w:themeShade="BF"/>
              </w:rPr>
              <m:t>K-1;1-</m:t>
            </m:r>
            <m:sSup>
              <m:sSup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α</m:t>
                </m:r>
              </m:e>
              <m:sup>
                <m:r>
                  <w:rPr>
                    <w:rFonts w:ascii="Cambria Math" w:hAnsi="Cambria Math"/>
                    <w:color w:val="E36C0A" w:themeColor="accent6" w:themeShade="BF"/>
                  </w:rPr>
                  <m:t>*</m:t>
                </m:r>
              </m:sup>
            </m:sSup>
          </m:sub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w:rPr>
            <w:rFonts w:ascii="Cambria Math" w:hAnsi="Cambria Math"/>
            <w:color w:val="E36C0A" w:themeColor="accent6" w:themeShade="BF"/>
          </w:rPr>
          <m:t>}</m:t>
        </m:r>
      </m:oMath>
    </w:p>
    <w:p w14:paraId="2462D43D" w14:textId="61E6227D" w:rsidR="00EE436E" w:rsidRPr="004D129F" w:rsidRDefault="006777E0" w:rsidP="00B34990">
      <w:pPr>
        <w:pStyle w:val="Niveauducommentaire3"/>
        <w:jc w:val="both"/>
        <w:rPr>
          <w:color w:val="E36C0A" w:themeColor="accent6" w:themeShade="BF"/>
        </w:rPr>
      </w:pP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D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naryPr>
          <m:sub>
            <m: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w:rPr>
                <w:rFonts w:ascii="Cambria Math" w:hAnsi="Cambria Math"/>
                <w:color w:val="E36C0A" w:themeColor="accent6" w:themeShade="BF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i0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i0</m:t>
                    </m:r>
                  </m:sub>
                </m:sSub>
              </m:den>
            </m:f>
            <m:r>
              <w:rPr>
                <w:rFonts w:ascii="Cambria Math" w:hAnsi="Cambria Math"/>
                <w:color w:val="E36C0A" w:themeColor="accent6" w:themeShade="BF"/>
              </w:rPr>
              <m:t>=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naryPr>
          <m:sub>
            <m: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w:rPr>
                <w:rFonts w:ascii="Cambria Math" w:hAnsi="Cambria Math"/>
                <w:color w:val="E36C0A" w:themeColor="accent6" w:themeShade="BF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E36C0A" w:themeColor="accent6" w:themeShade="BF"/>
              </w:rPr>
              <m:t>-n</m:t>
            </m:r>
          </m:e>
        </m:nary>
      </m:oMath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2"/>
      </w:tblGrid>
      <w:tr w:rsidR="00856DBC" w14:paraId="17803E0C" w14:textId="77777777" w:rsidTr="00856DBC">
        <w:tc>
          <w:tcPr>
            <w:tcW w:w="1832" w:type="dxa"/>
          </w:tcPr>
          <w:p w14:paraId="66DEE840" w14:textId="0A57D57F" w:rsidR="00856DBC" w:rsidRDefault="00856DBC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i</w:t>
            </w:r>
          </w:p>
        </w:tc>
        <w:tc>
          <w:tcPr>
            <w:tcW w:w="1832" w:type="dxa"/>
          </w:tcPr>
          <w:p w14:paraId="1080BE7D" w14:textId="41FC16C4" w:rsidR="00856DBC" w:rsidRDefault="00170CFF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832" w:type="dxa"/>
          </w:tcPr>
          <w:p w14:paraId="36186FB7" w14:textId="7F0224C2" w:rsidR="00856DBC" w:rsidRDefault="00170CFF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832" w:type="dxa"/>
          </w:tcPr>
          <w:p w14:paraId="6282A30F" w14:textId="49933515" w:rsidR="00856DBC" w:rsidRDefault="00170CFF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832" w:type="dxa"/>
          </w:tcPr>
          <w:p w14:paraId="48B65FA6" w14:textId="2F68396D" w:rsidR="00856DBC" w:rsidRDefault="00170CFF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K</w:t>
            </w:r>
          </w:p>
        </w:tc>
      </w:tr>
      <w:tr w:rsidR="00170CFF" w14:paraId="2E3912B7" w14:textId="77777777" w:rsidTr="00170CFF">
        <w:tc>
          <w:tcPr>
            <w:tcW w:w="1832" w:type="dxa"/>
          </w:tcPr>
          <w:p w14:paraId="2DD90490" w14:textId="38A1DCD3" w:rsidR="00170CFF" w:rsidRPr="00170CFF" w:rsidRDefault="00170CFF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p</w:t>
            </w:r>
            <w:r>
              <w:rPr>
                <w:vertAlign w:val="subscript"/>
              </w:rPr>
              <w:t>i</w:t>
            </w:r>
          </w:p>
        </w:tc>
        <w:tc>
          <w:tcPr>
            <w:tcW w:w="7328" w:type="dxa"/>
            <w:gridSpan w:val="4"/>
          </w:tcPr>
          <w:p w14:paraId="24ECDF23" w14:textId="7B34AA3B" w:rsidR="00170CFF" w:rsidRDefault="00F43936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Une proportion</w:t>
            </w:r>
          </w:p>
        </w:tc>
      </w:tr>
      <w:tr w:rsidR="00B625C1" w14:paraId="52FF86E3" w14:textId="77777777" w:rsidTr="00D70AFA">
        <w:tc>
          <w:tcPr>
            <w:tcW w:w="1832" w:type="dxa"/>
          </w:tcPr>
          <w:p w14:paraId="5E8FB784" w14:textId="2D657549" w:rsidR="00B625C1" w:rsidRPr="00170CFF" w:rsidRDefault="00B625C1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proofErr w:type="spellStart"/>
            <w:r>
              <w:t>np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7328" w:type="dxa"/>
            <w:gridSpan w:val="4"/>
          </w:tcPr>
          <w:p w14:paraId="01D7E882" w14:textId="2D9D5DEB" w:rsidR="00B625C1" w:rsidRDefault="00F43936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n : taille de l’échantillon</w:t>
            </w:r>
          </w:p>
        </w:tc>
      </w:tr>
      <w:tr w:rsidR="00F43936" w14:paraId="3F204778" w14:textId="77777777" w:rsidTr="00D70AFA">
        <w:tc>
          <w:tcPr>
            <w:tcW w:w="1832" w:type="dxa"/>
          </w:tcPr>
          <w:p w14:paraId="2FE68D22" w14:textId="4ECB1C5D" w:rsidR="00F43936" w:rsidRPr="00170CFF" w:rsidRDefault="00F43936" w:rsidP="00856DBC">
            <w:pPr>
              <w:pStyle w:val="Niveauducommentaire3"/>
              <w:numPr>
                <w:ilvl w:val="0"/>
                <w:numId w:val="0"/>
              </w:numPr>
              <w:jc w:val="center"/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i</w:t>
            </w:r>
          </w:p>
        </w:tc>
        <w:tc>
          <w:tcPr>
            <w:tcW w:w="7328" w:type="dxa"/>
            <w:gridSpan w:val="4"/>
          </w:tcPr>
          <w:p w14:paraId="3C2DABB0" w14:textId="14F180C8" w:rsidR="00F43936" w:rsidRDefault="00F43936" w:rsidP="00856DBC">
            <w:pPr>
              <w:pStyle w:val="Niveauducommentaire3"/>
              <w:numPr>
                <w:ilvl w:val="0"/>
                <w:numId w:val="0"/>
              </w:numPr>
              <w:jc w:val="center"/>
            </w:pPr>
            <w:r>
              <w:t>Fréquence observée pour la classe i</w:t>
            </w:r>
          </w:p>
        </w:tc>
      </w:tr>
    </w:tbl>
    <w:p w14:paraId="7E74E4A0" w14:textId="77777777" w:rsidR="00EE436E" w:rsidRDefault="00EE436E" w:rsidP="00856DBC">
      <w:pPr>
        <w:pStyle w:val="Niveauducommentaire3"/>
        <w:numPr>
          <w:ilvl w:val="0"/>
          <w:numId w:val="0"/>
        </w:numPr>
        <w:jc w:val="center"/>
      </w:pPr>
    </w:p>
    <w:p w14:paraId="4678D05F" w14:textId="23DEB856" w:rsidR="0064088C" w:rsidRDefault="0064088C" w:rsidP="00B34990">
      <w:pPr>
        <w:pStyle w:val="Niveauducommentaire2"/>
        <w:jc w:val="both"/>
      </w:pPr>
      <w:r>
        <w:t>Test de Fisher</w:t>
      </w:r>
    </w:p>
    <w:p w14:paraId="32527D55" w14:textId="6735FC05" w:rsidR="0064088C" w:rsidRDefault="0064088C" w:rsidP="00B34990">
      <w:pPr>
        <w:pStyle w:val="Niveauducommentaire3"/>
        <w:jc w:val="both"/>
      </w:pPr>
      <w:r>
        <w:t>Pour comparer deux variances</w:t>
      </w:r>
    </w:p>
    <w:p w14:paraId="219EE14D" w14:textId="06784398" w:rsidR="0064088C" w:rsidRDefault="00CD7607" w:rsidP="00B34990">
      <w:pPr>
        <w:pStyle w:val="Niveauducommentaire3"/>
        <w:jc w:val="both"/>
        <w:rPr>
          <w:color w:val="E36C0A" w:themeColor="accent6" w:themeShade="BF"/>
        </w:rPr>
      </w:pPr>
      <m:oMath>
        <m:r>
          <w:rPr>
            <w:rFonts w:ascii="Cambria Math" w:hAnsi="Cambria Math"/>
            <w:color w:val="E36C0A" w:themeColor="accent6" w:themeShade="BF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E36C0A" w:themeColor="accent6" w:themeShade="BF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*2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*2</m:t>
                    </m:r>
                  </m:sup>
                </m:sSubSup>
              </m:den>
            </m:f>
            <m:r>
              <w:rPr>
                <w:rFonts w:ascii="Cambria Math" w:hAnsi="Cambria Math"/>
                <w:color w:val="E36C0A" w:themeColor="accent6" w:themeShade="BF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>-1;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color w:val="E36C0A" w:themeColor="accent6" w:themeShade="BF"/>
              </w:rPr>
              <m:t xml:space="preserve"> ou  </m:t>
            </m:r>
            <m:f>
              <m:f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*2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*2</m:t>
                    </m:r>
                  </m:sup>
                </m:sSubSup>
              </m:den>
            </m:f>
            <m:r>
              <w:rPr>
                <w:rFonts w:ascii="Cambria Math" w:hAnsi="Cambria Math"/>
                <w:color w:val="E36C0A" w:themeColor="accent6" w:themeShade="BF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>-1;1-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den>
                </m:f>
              </m:sub>
            </m:sSub>
          </m:e>
        </m:d>
      </m:oMath>
    </w:p>
    <w:p w14:paraId="5EB3043F" w14:textId="7180159A" w:rsidR="007B4DF1" w:rsidRDefault="000173ED" w:rsidP="00B34990">
      <w:pPr>
        <w:pStyle w:val="Niveauducommentaire3"/>
        <w:jc w:val="both"/>
      </w:pPr>
      <w:r>
        <w:t xml:space="preserve">Si variances égales, un estimateur efficace de cette variance commune est : </w:t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*2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A</m:t>
                </m:r>
              </m:sub>
              <m:sup>
                <m:r>
                  <w:rPr>
                    <w:rFonts w:ascii="Cambria Math" w:hAnsi="Cambria Math"/>
                    <w:color w:val="E36C0A" w:themeColor="accent6" w:themeShade="BF"/>
                  </w:rPr>
                  <m:t>*2</m:t>
                </m:r>
              </m:sup>
            </m:sSubSup>
            <m:r>
              <w:rPr>
                <w:rFonts w:ascii="Cambria Math" w:hAnsi="Cambria Math"/>
                <w:color w:val="E36C0A" w:themeColor="accent6" w:themeShade="BF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B</m:t>
                </m:r>
              </m:sub>
              <m:sup>
                <m:r>
                  <w:rPr>
                    <w:rFonts w:ascii="Cambria Math" w:hAnsi="Cambria Math"/>
                    <w:color w:val="E36C0A" w:themeColor="accent6" w:themeShade="BF"/>
                  </w:rPr>
                  <m:t>*2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A</m:t>
                </m:r>
              </m:sub>
            </m:sSub>
            <m:r>
              <w:rPr>
                <w:rFonts w:ascii="Cambria Math" w:hAnsi="Cambria Math"/>
                <w:color w:val="E36C0A" w:themeColor="accent6" w:themeShade="B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B</m:t>
                </m:r>
              </m:sub>
            </m:sSub>
            <m:r>
              <w:rPr>
                <w:rFonts w:ascii="Cambria Math" w:hAnsi="Cambria Math"/>
                <w:color w:val="E36C0A" w:themeColor="accent6" w:themeShade="BF"/>
              </w:rPr>
              <m:t>-2</m:t>
            </m:r>
          </m:den>
        </m:f>
      </m:oMath>
      <w:r>
        <w:t>.</w:t>
      </w:r>
    </w:p>
    <w:p w14:paraId="59C9A051" w14:textId="27182882" w:rsidR="007B4DF1" w:rsidRDefault="007B4DF1" w:rsidP="00B34990">
      <w:pPr>
        <w:pStyle w:val="Niveauducommentaire2"/>
        <w:jc w:val="both"/>
      </w:pPr>
      <w:r>
        <w:t>Test de Student</w:t>
      </w:r>
    </w:p>
    <w:p w14:paraId="64D6B7F9" w14:textId="0BF931DE" w:rsidR="007B4DF1" w:rsidRDefault="007B4DF1" w:rsidP="00B34990">
      <w:pPr>
        <w:pStyle w:val="Niveauducommentaire3"/>
        <w:jc w:val="both"/>
      </w:pPr>
      <w:r>
        <w:t>Pour comparer deux espérances quand on ne connaît pas la variance</w:t>
      </w:r>
    </w:p>
    <w:p w14:paraId="585030EC" w14:textId="065C7B73" w:rsidR="007B4DF1" w:rsidRDefault="007B4DF1" w:rsidP="00B34990">
      <w:pPr>
        <w:pStyle w:val="Niveauducommentaire3"/>
        <w:jc w:val="both"/>
      </w:pPr>
      <m:oMath>
        <m:r>
          <w:rPr>
            <w:rFonts w:ascii="Cambria Math" w:hAnsi="Cambria Math"/>
            <w:color w:val="E36C0A" w:themeColor="accent6" w:themeShade="BF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E36C0A" w:themeColor="accent6" w:themeShade="BF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  <w:sz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B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*2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 xml:space="preserve"> </m:t>
                    </m:r>
                  </m:e>
                </m:rad>
              </m:den>
            </m:f>
            <m:r>
              <w:rPr>
                <w:rFonts w:ascii="Cambria Math" w:hAnsi="Cambria Math"/>
                <w:color w:val="E36C0A" w:themeColor="accent6" w:themeShade="BF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E36C0A" w:themeColor="accent6" w:themeShade="BF"/>
                  </w:rPr>
                  <m:t>-2, 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den>
                </m:f>
              </m:sub>
            </m:sSub>
          </m:e>
        </m:d>
      </m:oMath>
      <w:r w:rsidR="004E3F1D">
        <w:t>.</w:t>
      </w:r>
    </w:p>
    <w:p w14:paraId="6FA775BB" w14:textId="3180C545" w:rsidR="004E3F1D" w:rsidRDefault="005F47DE" w:rsidP="00B34990">
      <w:pPr>
        <w:pStyle w:val="Niveauducommentaire2"/>
        <w:jc w:val="both"/>
      </w:pPr>
      <w:r>
        <w:t>Test de Kolgomorov-Smirnov</w:t>
      </w:r>
    </w:p>
    <w:p w14:paraId="56455976" w14:textId="1444A490" w:rsidR="005019B8" w:rsidRDefault="005019B8" w:rsidP="00B34990">
      <w:pPr>
        <w:pStyle w:val="Niveauducommentaire3"/>
        <w:jc w:val="both"/>
      </w:pPr>
      <w:r>
        <w:t>Pour vérifier qu’un échantillon suit bien une loi donnée</w:t>
      </w:r>
    </w:p>
    <w:p w14:paraId="5A8EC0A1" w14:textId="1441275B" w:rsidR="005F47DE" w:rsidRDefault="005F47DE" w:rsidP="00B34990">
      <w:pPr>
        <w:pStyle w:val="Niveauducommentaire3"/>
        <w:jc w:val="both"/>
      </w:pPr>
      <m:oMath>
        <m:r>
          <w:rPr>
            <w:rFonts w:ascii="Cambria Math" w:hAnsi="Cambria Math"/>
          </w:rPr>
          <m:t>W={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n, 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>}</m:t>
        </m:r>
      </m:oMath>
    </w:p>
    <w:p w14:paraId="789F7CF6" w14:textId="7E83B51A" w:rsidR="005F47DE" w:rsidRDefault="005F47DE" w:rsidP="00B34990">
      <w:pPr>
        <w:pStyle w:val="Niveauducommentaire3"/>
        <w:jc w:val="both"/>
      </w:pPr>
      <w:r>
        <w:t xml:space="preserve">Calcul de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 </w:t>
      </w:r>
      <w:r>
        <w:t>:</w:t>
      </w:r>
    </w:p>
    <w:p w14:paraId="1DC79976" w14:textId="415261D8" w:rsidR="005F47DE" w:rsidRDefault="005F47DE" w:rsidP="00B34990">
      <w:pPr>
        <w:pStyle w:val="Niveauducommentaire4"/>
        <w:jc w:val="both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307A399D" w14:textId="07CE0748" w:rsidR="00C31B1E" w:rsidRDefault="00C31B1E" w:rsidP="00B34990">
      <w:pPr>
        <w:pStyle w:val="Niveauducommentaire4"/>
        <w:jc w:val="both"/>
      </w:pPr>
      <w:r>
        <w:t xml:space="preserve">Maximum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t>.</w:t>
      </w:r>
    </w:p>
    <w:p w14:paraId="2CDC4ACD" w14:textId="77777777" w:rsidR="00C31B1E" w:rsidRDefault="00C31B1E" w:rsidP="00B34990">
      <w:pPr>
        <w:pStyle w:val="Niveauducommentaire4"/>
        <w:numPr>
          <w:ilvl w:val="0"/>
          <w:numId w:val="0"/>
        </w:numPr>
        <w:ind w:left="2520"/>
        <w:jc w:val="both"/>
      </w:pPr>
    </w:p>
    <w:tbl>
      <w:tblPr>
        <w:tblStyle w:val="Grille"/>
        <w:tblW w:w="7338" w:type="dxa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850"/>
        <w:gridCol w:w="1701"/>
        <w:gridCol w:w="1843"/>
        <w:gridCol w:w="1843"/>
      </w:tblGrid>
      <w:tr w:rsidR="00C31B1E" w:rsidRPr="005F47DE" w14:paraId="5FB186A4" w14:textId="77777777" w:rsidTr="00BF011F">
        <w:trPr>
          <w:jc w:val="center"/>
        </w:trPr>
        <w:tc>
          <w:tcPr>
            <w:tcW w:w="534" w:type="dxa"/>
          </w:tcPr>
          <w:p w14:paraId="1BE1CDDB" w14:textId="77777777" w:rsidR="00C31B1E" w:rsidRPr="005F47DE" w:rsidRDefault="006777E0" w:rsidP="00B349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0A31EA1" w14:textId="77777777" w:rsidR="00C31B1E" w:rsidRPr="005F47DE" w:rsidRDefault="006777E0" w:rsidP="00B349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CDAD8AF" w14:textId="77777777" w:rsidR="00C31B1E" w:rsidRPr="005F47DE" w:rsidRDefault="006777E0" w:rsidP="00B34990">
            <w:pPr>
              <w:jc w:val="both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</w:tcPr>
          <w:p w14:paraId="02B79562" w14:textId="77777777" w:rsidR="00C31B1E" w:rsidRPr="005F47DE" w:rsidRDefault="006777E0" w:rsidP="00B349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43" w:type="dxa"/>
          </w:tcPr>
          <w:p w14:paraId="57EA81FA" w14:textId="77777777" w:rsidR="00C31B1E" w:rsidRPr="005F47DE" w:rsidRDefault="006777E0" w:rsidP="00B34990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843" w:type="dxa"/>
          </w:tcPr>
          <w:p w14:paraId="5A89488F" w14:textId="77777777" w:rsidR="00C31B1E" w:rsidRDefault="006777E0" w:rsidP="00B34990">
            <w:pPr>
              <w:jc w:val="both"/>
              <w:rPr>
                <w:rFonts w:eastAsia="ＭＳ 明朝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</w:tbl>
    <w:p w14:paraId="0420FCBF" w14:textId="77777777" w:rsidR="004D129F" w:rsidRDefault="004D129F" w:rsidP="004D129F">
      <w:pPr>
        <w:pStyle w:val="Niveauducommentaire2"/>
        <w:numPr>
          <w:ilvl w:val="0"/>
          <w:numId w:val="0"/>
        </w:numPr>
        <w:ind w:left="1080" w:hanging="360"/>
      </w:pPr>
    </w:p>
    <w:p w14:paraId="326DC2E3" w14:textId="254609B1" w:rsidR="00590C63" w:rsidRDefault="00D70AFA" w:rsidP="00D70AFA">
      <w:pPr>
        <w:pStyle w:val="Niveauducommentaire2"/>
      </w:pPr>
      <w:r>
        <w:t xml:space="preserve">Test approché </w:t>
      </w:r>
    </w:p>
    <w:p w14:paraId="4203C269" w14:textId="6C52D8AD" w:rsidR="00D70AFA" w:rsidRDefault="00D70AFA" w:rsidP="00D70AFA">
      <w:pPr>
        <w:pStyle w:val="Niveauducommentaire3"/>
      </w:pPr>
      <w:r>
        <w:t>-2</w:t>
      </w:r>
      <w:r w:rsidR="00AE6AAF">
        <w:t xml:space="preserve">lnλ </w:t>
      </w:r>
    </w:p>
    <w:p w14:paraId="414F6832" w14:textId="7479459B" w:rsidR="00AE6AAF" w:rsidRDefault="00AE6AAF" w:rsidP="00D70AFA">
      <w:pPr>
        <w:pStyle w:val="Niveauducommentaire3"/>
      </w:pPr>
      <w:r>
        <w:t xml:space="preserve">W = {-2lnλ ≥ </w:t>
      </w:r>
      <w:proofErr w:type="gramStart"/>
      <w:r>
        <w:t>c }</w:t>
      </w:r>
      <w:proofErr w:type="gramEnd"/>
    </w:p>
    <w:p w14:paraId="20293CC1" w14:textId="7C7EF6B8" w:rsidR="00EC0636" w:rsidRDefault="00AE6AAF" w:rsidP="00EC0636">
      <w:pPr>
        <w:pStyle w:val="Niveauducommentaire3"/>
      </w:pP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r;1-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FFF44A0" w14:textId="2D57397E" w:rsidR="006777E0" w:rsidRDefault="006777E0" w:rsidP="006777E0">
      <w:pPr>
        <w:pStyle w:val="Niveauducommentaire2"/>
      </w:pPr>
      <w:r>
        <w:t>ANOVA</w:t>
      </w:r>
    </w:p>
    <w:p w14:paraId="2A04A198" w14:textId="3E950369" w:rsidR="004D129F" w:rsidRDefault="004D129F" w:rsidP="005247A1">
      <w:pPr>
        <w:pStyle w:val="Niveauducommentaire3"/>
      </w:pPr>
      <m:oMath>
        <m:r>
          <w:rPr>
            <w:rFonts w:ascii="Cambria Math" w:hAnsi="Cambria Math"/>
          </w:rPr>
          <m:t>N=</m:t>
        </m:r>
        <m:r>
          <w:rPr>
            <w:rFonts w:ascii="Cambria Math" w:hAnsi="Cambria Math" w:hint="eastAsia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 : N effectif total, n</w:t>
      </w:r>
      <w:r>
        <w:rPr>
          <w:vertAlign w:val="subscript"/>
        </w:rPr>
        <w:t xml:space="preserve">i </w:t>
      </w:r>
      <w:r>
        <w:t>effectif d’une classe</w:t>
      </w:r>
    </w:p>
    <w:p w14:paraId="4EF8796D" w14:textId="67DF415F" w:rsidR="006777E0" w:rsidRPr="00D02B42" w:rsidRDefault="00256945" w:rsidP="006777E0">
      <w:pPr>
        <w:pStyle w:val="Niveauducommentaire3"/>
        <w:rPr>
          <w:color w:val="E36C0A" w:themeColor="accent6" w:themeShade="BF"/>
        </w:rPr>
      </w:pPr>
      <m:oMath>
        <m:r>
          <w:rPr>
            <w:rFonts w:ascii="Cambria Math" w:hAnsi="Cambria Math"/>
            <w:color w:val="E36C0A" w:themeColor="accent6" w:themeShade="BF"/>
          </w:rPr>
          <m:t>SC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</w:rPr>
              <m:t>E</m:t>
            </m:r>
          </m:e>
          <m:sub>
            <m:r>
              <w:rPr>
                <w:rFonts w:ascii="Cambria Math" w:hAnsi="Cambria Math"/>
                <w:color w:val="E36C0A" w:themeColor="accent6" w:themeShade="BF"/>
              </w:rPr>
              <m:t>facteur</m:t>
            </m:r>
          </m:sub>
        </m:sSub>
        <m:r>
          <w:rPr>
            <w:rFonts w:ascii="Cambria Math" w:hAnsi="Cambria Math"/>
            <w:color w:val="E36C0A" w:themeColor="accent6" w:themeShade="B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naryPr>
          <m:sub>
            <m: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w:rPr>
                <w:rFonts w:ascii="Cambria Math" w:hAnsi="Cambria Math"/>
                <w:color w:val="E36C0A" w:themeColor="accent6" w:themeShade="BF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E36C0A" w:themeColor="accent6" w:themeShade="BF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</m:oMath>
    </w:p>
    <w:p w14:paraId="76227393" w14:textId="037563F9" w:rsidR="006777E0" w:rsidRPr="00D02B42" w:rsidRDefault="005247A1" w:rsidP="006777E0">
      <w:pPr>
        <w:pStyle w:val="Niveauducommentaire3"/>
        <w:rPr>
          <w:color w:val="E36C0A" w:themeColor="accent6" w:themeShade="BF"/>
        </w:rPr>
      </w:pPr>
      <m:oMath>
        <m:r>
          <w:rPr>
            <w:rFonts w:ascii="Cambria Math" w:hAnsi="Cambria Math"/>
            <w:color w:val="E36C0A" w:themeColor="accent6" w:themeShade="BF"/>
          </w:rPr>
          <m:t>SC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</w:rPr>
              <m:t>E</m:t>
            </m:r>
          </m:e>
          <m:sub>
            <m:r>
              <w:rPr>
                <w:rFonts w:ascii="Cambria Math" w:hAnsi="Cambria Math"/>
                <w:color w:val="E36C0A" w:themeColor="accent6" w:themeShade="BF"/>
              </w:rPr>
              <m:t>résidus</m:t>
            </m:r>
          </m:sub>
        </m:sSub>
        <m:r>
          <w:rPr>
            <w:rFonts w:ascii="Cambria Math" w:hAnsi="Cambria Math"/>
            <w:color w:val="E36C0A" w:themeColor="accent6" w:themeShade="B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naryPr>
          <m:sub>
            <m: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w:rPr>
                <w:rFonts w:ascii="Cambria Math" w:hAnsi="Cambria Math"/>
                <w:color w:val="E36C0A" w:themeColor="accent6" w:themeShade="BF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naryPr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</m:e>
            </m:nary>
          </m:e>
        </m:nary>
      </m:oMath>
    </w:p>
    <w:p w14:paraId="22B8D08E" w14:textId="559AF2A2" w:rsidR="006777E0" w:rsidRDefault="00775938" w:rsidP="006777E0">
      <w:pPr>
        <w:pStyle w:val="Niveauducommentaire3"/>
      </w:pPr>
      <w:r>
        <w:t>On obtient les variances associées en divisant le SCE par le nombre de degrés de libertés</w:t>
      </w:r>
    </w:p>
    <w:p w14:paraId="2D248B7E" w14:textId="1BCCBA3A" w:rsidR="00775938" w:rsidRDefault="00775938" w:rsidP="00775938">
      <w:pPr>
        <w:pStyle w:val="Niveauducommentaire3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facteur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résidus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810F1C1" w14:textId="5EC85736" w:rsidR="00775938" w:rsidRDefault="00775938" w:rsidP="00775938">
      <w:pPr>
        <w:pStyle w:val="Niveauducommentaire3"/>
      </w:pPr>
      <w:r>
        <w:t xml:space="preserve">Test de conformité sur l’égalité de ces deux </w:t>
      </w:r>
      <w:r w:rsidR="007704F7">
        <w:t>variances avec le test de Fisher</w:t>
      </w: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  <w:gridCol w:w="2290"/>
      </w:tblGrid>
      <w:tr w:rsidR="006777E0" w:rsidRPr="006777E0" w14:paraId="229E1730" w14:textId="77777777" w:rsidTr="006777E0">
        <w:trPr>
          <w:jc w:val="center"/>
        </w:trPr>
        <w:tc>
          <w:tcPr>
            <w:tcW w:w="2290" w:type="dxa"/>
          </w:tcPr>
          <w:p w14:paraId="7FB107BD" w14:textId="69F36F3A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6777E0">
              <w:rPr>
                <w:rFonts w:ascii="Calibri" w:hAnsi="Calibri"/>
              </w:rPr>
              <w:t>Source de la variance</w:t>
            </w:r>
          </w:p>
        </w:tc>
        <w:tc>
          <w:tcPr>
            <w:tcW w:w="2290" w:type="dxa"/>
          </w:tcPr>
          <w:p w14:paraId="4582D000" w14:textId="6CE2DBBD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6777E0">
              <w:rPr>
                <w:rFonts w:ascii="Calibri" w:hAnsi="Calibri"/>
              </w:rPr>
              <w:t>Somme des carrés des écarts</w:t>
            </w:r>
          </w:p>
        </w:tc>
        <w:tc>
          <w:tcPr>
            <w:tcW w:w="2290" w:type="dxa"/>
          </w:tcPr>
          <w:p w14:paraId="46727108" w14:textId="5614CBFB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6777E0">
              <w:rPr>
                <w:rFonts w:ascii="Calibri" w:hAnsi="Calibri"/>
              </w:rPr>
              <w:t>Degrés de liberté</w:t>
            </w:r>
          </w:p>
        </w:tc>
      </w:tr>
      <w:tr w:rsidR="006777E0" w:rsidRPr="006777E0" w14:paraId="7062CD66" w14:textId="77777777" w:rsidTr="006777E0">
        <w:trPr>
          <w:jc w:val="center"/>
        </w:trPr>
        <w:tc>
          <w:tcPr>
            <w:tcW w:w="2290" w:type="dxa"/>
          </w:tcPr>
          <w:p w14:paraId="25EC5844" w14:textId="243D0753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proofErr w:type="spellStart"/>
            <w:r w:rsidRPr="006777E0">
              <w:rPr>
                <w:rFonts w:ascii="Calibri" w:hAnsi="Calibri"/>
              </w:rPr>
              <w:t>Inter-classe</w:t>
            </w:r>
            <w:proofErr w:type="spellEnd"/>
          </w:p>
        </w:tc>
        <w:tc>
          <w:tcPr>
            <w:tcW w:w="2290" w:type="dxa"/>
          </w:tcPr>
          <w:p w14:paraId="7702FBA5" w14:textId="0A7A5E30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  <w:vertAlign w:val="subscript"/>
              </w:rPr>
            </w:pPr>
            <w:proofErr w:type="spellStart"/>
            <w:r w:rsidRPr="006777E0">
              <w:rPr>
                <w:rFonts w:ascii="Calibri" w:hAnsi="Calibri"/>
              </w:rPr>
              <w:t>SCE</w:t>
            </w:r>
            <w:r w:rsidRPr="006777E0">
              <w:rPr>
                <w:rFonts w:ascii="Calibri" w:hAnsi="Calibri"/>
                <w:vertAlign w:val="subscript"/>
              </w:rPr>
              <w:t>facteur</w:t>
            </w:r>
            <w:proofErr w:type="spellEnd"/>
          </w:p>
        </w:tc>
        <w:tc>
          <w:tcPr>
            <w:tcW w:w="2290" w:type="dxa"/>
          </w:tcPr>
          <w:p w14:paraId="487CEC11" w14:textId="3C30EDBD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proofErr w:type="spellStart"/>
            <w:r w:rsidRPr="006777E0">
              <w:rPr>
                <w:rFonts w:ascii="Calibri" w:hAnsi="Calibri"/>
              </w:rPr>
              <w:t>DDL</w:t>
            </w:r>
            <w:r w:rsidRPr="006777E0">
              <w:rPr>
                <w:rFonts w:ascii="Calibri" w:hAnsi="Calibri"/>
                <w:vertAlign w:val="subscript"/>
              </w:rPr>
              <w:t>facteur</w:t>
            </w:r>
            <w:proofErr w:type="spellEnd"/>
            <w:r w:rsidRPr="006777E0">
              <w:rPr>
                <w:rFonts w:ascii="Calibri" w:hAnsi="Calibri"/>
              </w:rPr>
              <w:t xml:space="preserve">=nombre </w:t>
            </w:r>
            <w:r>
              <w:rPr>
                <w:rFonts w:ascii="Calibri" w:hAnsi="Calibri"/>
              </w:rPr>
              <w:t xml:space="preserve">p </w:t>
            </w:r>
            <w:r w:rsidRPr="006777E0">
              <w:rPr>
                <w:rFonts w:ascii="Calibri" w:hAnsi="Calibri"/>
              </w:rPr>
              <w:t>de classes</w:t>
            </w:r>
            <w:r>
              <w:rPr>
                <w:rFonts w:ascii="Calibri" w:hAnsi="Calibri"/>
              </w:rPr>
              <w:t xml:space="preserve"> – 1</w:t>
            </w:r>
          </w:p>
        </w:tc>
      </w:tr>
      <w:tr w:rsidR="006777E0" w:rsidRPr="006777E0" w14:paraId="4DBC8FB2" w14:textId="77777777" w:rsidTr="006777E0">
        <w:trPr>
          <w:jc w:val="center"/>
        </w:trPr>
        <w:tc>
          <w:tcPr>
            <w:tcW w:w="2290" w:type="dxa"/>
          </w:tcPr>
          <w:p w14:paraId="196EBD2A" w14:textId="544EB512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6777E0">
              <w:rPr>
                <w:rFonts w:ascii="Calibri" w:hAnsi="Calibri"/>
              </w:rPr>
              <w:t>Intra-classe</w:t>
            </w:r>
          </w:p>
        </w:tc>
        <w:tc>
          <w:tcPr>
            <w:tcW w:w="2290" w:type="dxa"/>
          </w:tcPr>
          <w:p w14:paraId="485BB884" w14:textId="42F1FB1F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  <w:vertAlign w:val="subscript"/>
              </w:rPr>
            </w:pPr>
            <w:proofErr w:type="spellStart"/>
            <w:r w:rsidRPr="006777E0">
              <w:rPr>
                <w:rFonts w:ascii="Calibri" w:hAnsi="Calibri"/>
              </w:rPr>
              <w:t>SCE</w:t>
            </w:r>
            <w:r w:rsidRPr="006777E0">
              <w:rPr>
                <w:rFonts w:ascii="Calibri" w:hAnsi="Calibri"/>
                <w:vertAlign w:val="subscript"/>
              </w:rPr>
              <w:t>résidu</w:t>
            </w:r>
            <w:r>
              <w:rPr>
                <w:rFonts w:ascii="Calibri" w:hAnsi="Calibri"/>
                <w:vertAlign w:val="subscript"/>
              </w:rPr>
              <w:t>s</w:t>
            </w:r>
            <w:proofErr w:type="spellEnd"/>
          </w:p>
        </w:tc>
        <w:tc>
          <w:tcPr>
            <w:tcW w:w="2290" w:type="dxa"/>
          </w:tcPr>
          <w:p w14:paraId="01C28C01" w14:textId="3C1D3CBC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DDL</w:t>
            </w:r>
            <w:r>
              <w:rPr>
                <w:rFonts w:ascii="Calibri" w:hAnsi="Calibri"/>
                <w:vertAlign w:val="subscript"/>
              </w:rPr>
              <w:t>résidus</w:t>
            </w:r>
            <w:proofErr w:type="spellEnd"/>
            <w:r>
              <w:rPr>
                <w:rFonts w:ascii="Calibri" w:hAnsi="Calibri"/>
              </w:rPr>
              <w:t>= n – p</w:t>
            </w:r>
          </w:p>
        </w:tc>
      </w:tr>
      <w:tr w:rsidR="006777E0" w:rsidRPr="006777E0" w14:paraId="1DBD3AA8" w14:textId="77777777" w:rsidTr="006777E0">
        <w:trPr>
          <w:jc w:val="center"/>
        </w:trPr>
        <w:tc>
          <w:tcPr>
            <w:tcW w:w="2290" w:type="dxa"/>
          </w:tcPr>
          <w:p w14:paraId="55E16CD7" w14:textId="6A855D09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6777E0">
              <w:rPr>
                <w:rFonts w:ascii="Calibri" w:hAnsi="Calibri"/>
              </w:rPr>
              <w:t>Total</w:t>
            </w:r>
          </w:p>
        </w:tc>
        <w:tc>
          <w:tcPr>
            <w:tcW w:w="2290" w:type="dxa"/>
          </w:tcPr>
          <w:p w14:paraId="44195164" w14:textId="34027341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6777E0">
              <w:rPr>
                <w:rFonts w:ascii="Calibri" w:hAnsi="Calibri"/>
              </w:rPr>
              <w:t>Somme</w:t>
            </w:r>
          </w:p>
        </w:tc>
        <w:tc>
          <w:tcPr>
            <w:tcW w:w="2290" w:type="dxa"/>
          </w:tcPr>
          <w:p w14:paraId="1A5448A4" w14:textId="1971392B" w:rsidR="006777E0" w:rsidRPr="006777E0" w:rsidRDefault="006777E0" w:rsidP="006777E0">
            <w:pPr>
              <w:pStyle w:val="Niveauducommentaire1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DDL</w:t>
            </w:r>
            <w:r>
              <w:rPr>
                <w:rFonts w:ascii="Calibri" w:hAnsi="Calibri"/>
                <w:vertAlign w:val="subscript"/>
              </w:rPr>
              <w:t>total</w:t>
            </w:r>
            <w:proofErr w:type="spellEnd"/>
          </w:p>
        </w:tc>
      </w:tr>
    </w:tbl>
    <w:p w14:paraId="30011417" w14:textId="77777777" w:rsidR="006777E0" w:rsidRDefault="006777E0" w:rsidP="006777E0">
      <w:pPr>
        <w:pStyle w:val="Niveauducommentaire1"/>
        <w:numPr>
          <w:ilvl w:val="0"/>
          <w:numId w:val="0"/>
        </w:numPr>
      </w:pPr>
    </w:p>
    <w:p w14:paraId="37DA5C5A" w14:textId="77777777" w:rsidR="00590C63" w:rsidRPr="00590C63" w:rsidRDefault="00590C63" w:rsidP="00B34990">
      <w:pPr>
        <w:pStyle w:val="Titre1"/>
        <w:jc w:val="both"/>
      </w:pPr>
      <w:r w:rsidRPr="00590C63">
        <w:t>Test UPP</w:t>
      </w:r>
    </w:p>
    <w:p w14:paraId="4F15B306" w14:textId="1D123CBC" w:rsidR="00590C63" w:rsidRPr="00590C63" w:rsidRDefault="00590C63" w:rsidP="00B34990">
      <w:pPr>
        <w:pStyle w:val="Niveauducommentaire2"/>
        <w:jc w:val="both"/>
      </w:pPr>
      <w:r w:rsidRPr="00590C63">
        <w:t>Uniformément Plus Puissant</w:t>
      </w:r>
      <w:r w:rsidR="0064088C">
        <w:t>.</w:t>
      </w:r>
    </w:p>
    <w:p w14:paraId="4309C12B" w14:textId="763BB655" w:rsidR="007726AB" w:rsidRPr="00E84BBE" w:rsidRDefault="00E84BBE" w:rsidP="00B34990">
      <w:pPr>
        <w:pStyle w:val="Niveauducommentaire2"/>
        <w:jc w:val="both"/>
        <w:rPr>
          <w:rFonts w:asciiTheme="minorHAnsi" w:hAnsiTheme="minorHAnsi"/>
        </w:rPr>
        <w:sectPr w:rsidR="007726AB" w:rsidRPr="00E84BBE" w:rsidSect="00DE72F6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Région critique dépend d’</w:t>
      </w:r>
      <w:r w:rsidR="0064088C">
        <w:t>une hypothèse =&gt; Pas de test UPP.</w:t>
      </w:r>
      <w:r w:rsidR="007726AB" w:rsidRPr="00E84BBE">
        <w:rPr>
          <w:rFonts w:asciiTheme="minorHAnsi" w:hAnsiTheme="minorHAnsi"/>
        </w:rPr>
        <w:cr/>
      </w:r>
    </w:p>
    <w:p w14:paraId="5D38AC24" w14:textId="54A39C2D" w:rsidR="000B41FE" w:rsidRDefault="000B41FE" w:rsidP="00B34990">
      <w:pPr>
        <w:pStyle w:val="Titre1"/>
        <w:jc w:val="both"/>
      </w:pPr>
      <w:r>
        <w:t>Propriétés des estimateurs</w:t>
      </w:r>
    </w:p>
    <w:p w14:paraId="23AB3A39" w14:textId="73E489DC" w:rsidR="000B41FE" w:rsidRDefault="007C0A1B" w:rsidP="00B34990">
      <w:pPr>
        <w:pStyle w:val="Niveauducommentaire2"/>
        <w:jc w:val="both"/>
      </w:pPr>
      <w:r>
        <w:t>Efficace</w:t>
      </w:r>
      <w:r w:rsidR="000B41FE">
        <w:t> :</w:t>
      </w:r>
      <w:r>
        <w:t xml:space="preserve"> </w:t>
      </w:r>
      <w:r w:rsidR="000B41FE">
        <w:t xml:space="preserve"> </w:t>
      </w:r>
    </w:p>
    <w:p w14:paraId="69E2BE91" w14:textId="5910092E" w:rsidR="007C0A1B" w:rsidRDefault="007C0A1B" w:rsidP="00B34990">
      <w:pPr>
        <w:pStyle w:val="Niveauducommentaire2"/>
        <w:jc w:val="both"/>
      </w:pPr>
      <w:r>
        <w:t xml:space="preserve">Biais :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-θ</m:t>
        </m:r>
      </m:oMath>
    </w:p>
    <w:p w14:paraId="6230DA76" w14:textId="77777777" w:rsidR="000B41FE" w:rsidRDefault="000B41FE" w:rsidP="00B34990">
      <w:pPr>
        <w:pStyle w:val="Titre1"/>
        <w:jc w:val="both"/>
      </w:pPr>
    </w:p>
    <w:p w14:paraId="314CB5E2" w14:textId="6136EA79" w:rsidR="0029723B" w:rsidRDefault="006745EC" w:rsidP="00B34990">
      <w:pPr>
        <w:pStyle w:val="Titre1"/>
        <w:jc w:val="both"/>
      </w:pPr>
      <w:r>
        <w:t>EMV</w:t>
      </w:r>
    </w:p>
    <w:p w14:paraId="4365E264" w14:textId="54F0F786" w:rsidR="006745EC" w:rsidRDefault="006745EC" w:rsidP="00B34990">
      <w:pPr>
        <w:pStyle w:val="Niveauducommentaire2"/>
        <w:jc w:val="both"/>
      </w:pPr>
      <w:r>
        <w:t>Méthode de calcul</w:t>
      </w:r>
      <w:r w:rsidR="00C1631C">
        <w:t xml:space="preserve">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 :</w:t>
      </w:r>
    </w:p>
    <w:p w14:paraId="276177A0" w14:textId="0571370F" w:rsidR="006745EC" w:rsidRDefault="006745EC" w:rsidP="00B34990">
      <w:pPr>
        <w:pStyle w:val="Niveauducommentaire3"/>
        <w:jc w:val="both"/>
      </w:pPr>
      <w:r>
        <w:t>Calcul de la fonction de vraisemblance</w:t>
      </w:r>
    </w:p>
    <w:p w14:paraId="12CE0A63" w14:textId="0BB332A7" w:rsidR="006745EC" w:rsidRDefault="006745EC" w:rsidP="00B34990">
      <w:pPr>
        <w:pStyle w:val="Niveauducommentaire3"/>
        <w:jc w:val="both"/>
      </w:pPr>
      <w:r>
        <w:t>Calcul de son log</w:t>
      </w:r>
    </w:p>
    <w:p w14:paraId="073AEA2C" w14:textId="2891BDB4" w:rsidR="006745EC" w:rsidRDefault="006745EC" w:rsidP="00B34990">
      <w:pPr>
        <w:pStyle w:val="Niveauducommentaire3"/>
        <w:jc w:val="both"/>
      </w:pPr>
      <w:r>
        <w:t>Chercher maximum :</w:t>
      </w:r>
    </w:p>
    <w:p w14:paraId="6359EBAD" w14:textId="5C35A325" w:rsidR="006745EC" w:rsidRDefault="006745EC" w:rsidP="00B34990">
      <w:pPr>
        <w:pStyle w:val="Niveauducommentaire4"/>
        <w:jc w:val="both"/>
      </w:pPr>
      <w:r>
        <w:t>Dérivation</w:t>
      </w:r>
    </w:p>
    <w:p w14:paraId="74AAEC3C" w14:textId="6345C8F2" w:rsidR="006745EC" w:rsidRDefault="006745EC" w:rsidP="00B34990">
      <w:pPr>
        <w:pStyle w:val="Niveauducommentaire5"/>
        <w:jc w:val="both"/>
      </w:pPr>
      <w:r>
        <w:t>Pour quelle valeur la dérivée s’annule-t-elle ?</w:t>
      </w:r>
    </w:p>
    <w:p w14:paraId="10A55546" w14:textId="0296331B" w:rsidR="006745EC" w:rsidRDefault="006745EC" w:rsidP="00B34990">
      <w:pPr>
        <w:pStyle w:val="Niveauducommentaire5"/>
        <w:jc w:val="both"/>
      </w:pPr>
      <w:r>
        <w:t>La dérivée seconde est-elle négative pour cette valeur ?</w:t>
      </w:r>
    </w:p>
    <w:p w14:paraId="57334370" w14:textId="7960339D" w:rsidR="006745EC" w:rsidRDefault="006745EC" w:rsidP="00B34990">
      <w:pPr>
        <w:pStyle w:val="Niveauducommentaire4"/>
        <w:jc w:val="both"/>
      </w:pPr>
      <w:r>
        <w:t>A la main …</w:t>
      </w:r>
    </w:p>
    <w:p w14:paraId="399687D8" w14:textId="77777777" w:rsidR="006220F4" w:rsidRDefault="00C1631C" w:rsidP="00B34990">
      <w:pPr>
        <w:pStyle w:val="Niveauducommentaire2"/>
        <w:jc w:val="both"/>
      </w:pPr>
      <w:r>
        <w:t xml:space="preserve">Asymptotiquement : </w:t>
      </w:r>
    </w:p>
    <w:p w14:paraId="70D269C6" w14:textId="35942E33" w:rsidR="00C1631C" w:rsidRPr="00EF6786" w:rsidRDefault="006777E0" w:rsidP="00B34990">
      <w:pPr>
        <w:pStyle w:val="Niveauducommentaire3"/>
        <w:jc w:val="both"/>
        <w:rPr>
          <w:color w:val="E36C0A" w:themeColor="accent6" w:themeShade="BF"/>
        </w:rPr>
      </w:pPr>
      <m:oMath>
        <m:f>
          <m:f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θ</m:t>
                </m:r>
              </m:e>
            </m:acc>
            <m:r>
              <w:rPr>
                <w:rFonts w:ascii="Cambria Math" w:hAnsi="Cambria Math"/>
                <w:color w:val="E36C0A" w:themeColor="accent6" w:themeShade="BF"/>
              </w:rPr>
              <m:t>-θ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E36C0A" w:themeColor="accent6" w:themeShade="B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rad>
              </m:den>
            </m:f>
          </m:den>
        </m:f>
        <m:r>
          <w:rPr>
            <w:rFonts w:ascii="Cambria Math" w:hAnsi="Cambria Math"/>
            <w:color w:val="E36C0A" w:themeColor="accent6" w:themeShade="BF"/>
          </w:rPr>
          <m:t>→N</m:t>
        </m:r>
        <m:d>
          <m:d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</w:rPr>
              <m:t>0,1</m:t>
            </m:r>
          </m:e>
        </m:d>
      </m:oMath>
      <w:r w:rsidR="007C7796">
        <w:rPr>
          <w:color w:val="E36C0A" w:themeColor="accent6" w:themeShade="BF"/>
        </w:rPr>
        <w:t xml:space="preserve"> </w:t>
      </w:r>
      <w:r w:rsidR="007C7796" w:rsidRPr="007C7796">
        <w:t>ou</w:t>
      </w:r>
      <w:r w:rsidR="007C7796">
        <w:rPr>
          <w:color w:val="E36C0A" w:themeColor="accent6" w:themeShade="B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</w:rPr>
              <m:t>θ</m:t>
            </m:r>
          </m:e>
        </m:acc>
        <w:proofErr w:type="gramStart"/>
        <m:r>
          <w:rPr>
            <w:rFonts w:ascii="Cambria Math" w:hAnsi="Cambria Math"/>
            <w:color w:val="E36C0A" w:themeColor="accent6" w:themeShade="BF"/>
          </w:rPr>
          <m:t>→N(</m:t>
        </m:r>
        <w:proofErr w:type="gramEnd"/>
        <m:r>
          <w:rPr>
            <w:rFonts w:ascii="Cambria Math" w:hAnsi="Cambria Math"/>
            <w:color w:val="E36C0A" w:themeColor="accent6" w:themeShade="BF"/>
          </w:rPr>
          <m:t>θ,</m:t>
        </m:r>
        <m:f>
          <m:f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θ</m:t>
                </m:r>
              </m:e>
            </m:d>
          </m:den>
        </m:f>
        <m:r>
          <w:rPr>
            <w:rFonts w:ascii="Cambria Math" w:hAnsi="Cambria Math"/>
            <w:color w:val="E36C0A" w:themeColor="accent6" w:themeShade="BF"/>
          </w:rPr>
          <m:t>)</m:t>
        </m:r>
      </m:oMath>
    </w:p>
    <w:p w14:paraId="69CC804D" w14:textId="685A5BF6" w:rsidR="003F1D7F" w:rsidRDefault="006220F4" w:rsidP="00B34990">
      <w:pPr>
        <w:pStyle w:val="Niveauducommentaire3"/>
        <w:jc w:val="both"/>
      </w:pPr>
      <w:r>
        <w:t>Toujours efficace</w:t>
      </w:r>
    </w:p>
    <w:p w14:paraId="1D372A31" w14:textId="5E3F7829" w:rsidR="006220F4" w:rsidRDefault="00EA54BD" w:rsidP="00B34990">
      <w:pPr>
        <w:pStyle w:val="Niveauducommentaire3"/>
        <w:jc w:val="both"/>
      </w:pPr>
      <w:r>
        <w:t>Converge</w:t>
      </w:r>
      <w:r w:rsidR="006220F4">
        <w:t>nt</w:t>
      </w:r>
    </w:p>
    <w:p w14:paraId="4852A987" w14:textId="03EFF47E" w:rsidR="00AC3388" w:rsidRDefault="00AC3388" w:rsidP="00B34990">
      <w:pPr>
        <w:pStyle w:val="Niveauducommentaire2"/>
        <w:jc w:val="both"/>
      </w:pPr>
      <w:r>
        <w:t>Invariance fonctionnelle</w:t>
      </w:r>
      <w:r w:rsidR="005B2C1E">
        <w:t>.</w:t>
      </w:r>
    </w:p>
    <w:p w14:paraId="27832EC3" w14:textId="77777777" w:rsidR="005B2C1E" w:rsidRDefault="005B2C1E" w:rsidP="00B34990">
      <w:pPr>
        <w:pStyle w:val="Titre1"/>
        <w:jc w:val="both"/>
      </w:pPr>
    </w:p>
    <w:p w14:paraId="126DA553" w14:textId="33800040" w:rsidR="008F366A" w:rsidRDefault="008F366A" w:rsidP="00B34990">
      <w:pPr>
        <w:pStyle w:val="Titre1"/>
        <w:jc w:val="both"/>
      </w:pPr>
      <w:r>
        <w:t>Méthode des moments</w:t>
      </w:r>
    </w:p>
    <w:p w14:paraId="136C0EC9" w14:textId="65764FEB" w:rsidR="008F366A" w:rsidRDefault="008F366A" w:rsidP="00B34990">
      <w:pPr>
        <w:pStyle w:val="Niveauducommentaire2"/>
        <w:jc w:val="both"/>
      </w:pPr>
      <w:r>
        <w:t>Moments théoriques simples : espérance et variance.</w:t>
      </w:r>
    </w:p>
    <w:p w14:paraId="7AA913B4" w14:textId="061513C0" w:rsidR="006745EC" w:rsidRDefault="008F366A" w:rsidP="00B34990">
      <w:pPr>
        <w:pStyle w:val="Niveauducommentaire2"/>
        <w:jc w:val="both"/>
      </w:pPr>
      <w:r>
        <w:t>Moments empiriques associées : moyenne empirique</w:t>
      </w:r>
      <w:r w:rsidR="005B2C1E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et variance</w:t>
      </w:r>
      <w:r w:rsidR="00C920D0">
        <w:t xml:space="preserve"> empirique corrigée</w:t>
      </w:r>
      <w:r w:rsidR="005B2C1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*2</m:t>
            </m:r>
          </m:sup>
        </m:sSup>
      </m:oMath>
      <w:r w:rsidR="005B2C1E">
        <w:t>.</w:t>
      </w:r>
    </w:p>
    <w:p w14:paraId="43F83EBF" w14:textId="733013A7" w:rsidR="005B2C1E" w:rsidRDefault="005B2C1E" w:rsidP="00B34990">
      <w:pPr>
        <w:pStyle w:val="Niveauducommentaire2"/>
        <w:jc w:val="both"/>
      </w:pPr>
      <w:r>
        <w:t>Méthode de calcul :</w:t>
      </w:r>
    </w:p>
    <w:p w14:paraId="166EE016" w14:textId="6B2BA1ED" w:rsidR="005B2C1E" w:rsidRDefault="005B2C1E" w:rsidP="00B34990">
      <w:pPr>
        <w:pStyle w:val="Niveauducommentaire3"/>
        <w:jc w:val="both"/>
      </w:pPr>
      <w:r>
        <w:t>Trouver une expression du paramètre à estimer en fonction de moments théoriques</w:t>
      </w:r>
    </w:p>
    <w:p w14:paraId="6EA5B006" w14:textId="1DB7ED27" w:rsidR="005B2C1E" w:rsidRDefault="005B2C1E" w:rsidP="00B34990">
      <w:pPr>
        <w:pStyle w:val="Niveauducommentaire3"/>
        <w:jc w:val="both"/>
      </w:pPr>
      <w:r>
        <w:t>Remplacer les moments théoriques par les moments empiriques</w:t>
      </w:r>
    </w:p>
    <w:p w14:paraId="3411A937" w14:textId="249577BA" w:rsidR="005B2C1E" w:rsidRDefault="005B2C1E" w:rsidP="00B34990">
      <w:pPr>
        <w:pStyle w:val="Niveauducommentaire2"/>
        <w:jc w:val="both"/>
      </w:pPr>
      <w:r>
        <w:t>Les estimateurs ainsi obtenus sont sans biais.</w:t>
      </w:r>
    </w:p>
    <w:sectPr w:rsidR="005B2C1E" w:rsidSect="00DE72F6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A4BA" w14:textId="77777777" w:rsidR="00775938" w:rsidRDefault="00775938" w:rsidP="00DE72F6">
      <w:r>
        <w:separator/>
      </w:r>
    </w:p>
  </w:endnote>
  <w:endnote w:type="continuationSeparator" w:id="0">
    <w:p w14:paraId="65C35D81" w14:textId="77777777" w:rsidR="00775938" w:rsidRDefault="00775938" w:rsidP="00DE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A73EB" w14:textId="77777777" w:rsidR="00775938" w:rsidRDefault="00775938" w:rsidP="00DE72F6">
      <w:r>
        <w:separator/>
      </w:r>
    </w:p>
  </w:footnote>
  <w:footnote w:type="continuationSeparator" w:id="0">
    <w:p w14:paraId="5398B86C" w14:textId="77777777" w:rsidR="00775938" w:rsidRDefault="00775938" w:rsidP="00DE72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434A3" w14:textId="77777777" w:rsidR="00775938" w:rsidRDefault="0077593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_2"/>
    <w:bookmarkStart w:id="2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13/01/12 09:06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7216" w14:textId="77777777" w:rsidR="00775938" w:rsidRDefault="00775938" w:rsidP="00DE72F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13/01/12 09:06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3D5B8" w14:textId="77777777" w:rsidR="00775938" w:rsidRDefault="0077593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13/01/12 09:06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C76241A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Tests"/>
    <w:docVar w:name="_WNSectionTitle_2" w:val="Notions générales"/>
    <w:docVar w:name="_WNSectionTitle_3" w:val="Estimateur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E72F6"/>
    <w:rsid w:val="000173ED"/>
    <w:rsid w:val="00034277"/>
    <w:rsid w:val="000862AA"/>
    <w:rsid w:val="000B41FE"/>
    <w:rsid w:val="00121572"/>
    <w:rsid w:val="00140768"/>
    <w:rsid w:val="00170CFF"/>
    <w:rsid w:val="001B5025"/>
    <w:rsid w:val="001C77BD"/>
    <w:rsid w:val="002262ED"/>
    <w:rsid w:val="00256945"/>
    <w:rsid w:val="0028544B"/>
    <w:rsid w:val="00291AE0"/>
    <w:rsid w:val="0029723B"/>
    <w:rsid w:val="002D5FD1"/>
    <w:rsid w:val="002D63F7"/>
    <w:rsid w:val="003B0370"/>
    <w:rsid w:val="003F1D7F"/>
    <w:rsid w:val="004D129F"/>
    <w:rsid w:val="004E3F1D"/>
    <w:rsid w:val="005019B8"/>
    <w:rsid w:val="005247A1"/>
    <w:rsid w:val="00573BC8"/>
    <w:rsid w:val="00590C63"/>
    <w:rsid w:val="005B2C1E"/>
    <w:rsid w:val="005F47DE"/>
    <w:rsid w:val="006220F4"/>
    <w:rsid w:val="0064088C"/>
    <w:rsid w:val="00647BD8"/>
    <w:rsid w:val="006745EC"/>
    <w:rsid w:val="006777E0"/>
    <w:rsid w:val="006A3DE2"/>
    <w:rsid w:val="006D141E"/>
    <w:rsid w:val="007704F7"/>
    <w:rsid w:val="007726AB"/>
    <w:rsid w:val="00775938"/>
    <w:rsid w:val="007B4DF1"/>
    <w:rsid w:val="007C0A1B"/>
    <w:rsid w:val="007C56C3"/>
    <w:rsid w:val="007C7796"/>
    <w:rsid w:val="00806D50"/>
    <w:rsid w:val="008543D0"/>
    <w:rsid w:val="00856DBC"/>
    <w:rsid w:val="008706FF"/>
    <w:rsid w:val="00871E2D"/>
    <w:rsid w:val="00872E52"/>
    <w:rsid w:val="008766B8"/>
    <w:rsid w:val="008951A0"/>
    <w:rsid w:val="008F366A"/>
    <w:rsid w:val="009360EE"/>
    <w:rsid w:val="009750A7"/>
    <w:rsid w:val="00983539"/>
    <w:rsid w:val="009C10D4"/>
    <w:rsid w:val="009D4414"/>
    <w:rsid w:val="00A1226A"/>
    <w:rsid w:val="00A42B7E"/>
    <w:rsid w:val="00A738E2"/>
    <w:rsid w:val="00A80A8C"/>
    <w:rsid w:val="00A900A8"/>
    <w:rsid w:val="00AC3388"/>
    <w:rsid w:val="00AE6AAF"/>
    <w:rsid w:val="00B34990"/>
    <w:rsid w:val="00B60888"/>
    <w:rsid w:val="00B625C1"/>
    <w:rsid w:val="00BA0D43"/>
    <w:rsid w:val="00BF011F"/>
    <w:rsid w:val="00C1631C"/>
    <w:rsid w:val="00C31B1E"/>
    <w:rsid w:val="00C36C6D"/>
    <w:rsid w:val="00C920D0"/>
    <w:rsid w:val="00C96498"/>
    <w:rsid w:val="00CD7607"/>
    <w:rsid w:val="00CE4EFB"/>
    <w:rsid w:val="00CF0DEE"/>
    <w:rsid w:val="00CF5500"/>
    <w:rsid w:val="00D0027C"/>
    <w:rsid w:val="00D02B42"/>
    <w:rsid w:val="00D34D91"/>
    <w:rsid w:val="00D70AFA"/>
    <w:rsid w:val="00D756FA"/>
    <w:rsid w:val="00DA13B7"/>
    <w:rsid w:val="00DA7C01"/>
    <w:rsid w:val="00DE72F6"/>
    <w:rsid w:val="00DE735B"/>
    <w:rsid w:val="00E0087C"/>
    <w:rsid w:val="00E75087"/>
    <w:rsid w:val="00E84BBE"/>
    <w:rsid w:val="00E97E1E"/>
    <w:rsid w:val="00EA326A"/>
    <w:rsid w:val="00EA54BD"/>
    <w:rsid w:val="00EC0636"/>
    <w:rsid w:val="00EE436E"/>
    <w:rsid w:val="00EF6786"/>
    <w:rsid w:val="00EF76C7"/>
    <w:rsid w:val="00F13799"/>
    <w:rsid w:val="00F43936"/>
    <w:rsid w:val="00F62B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B6AC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7DE"/>
    <w:rPr>
      <w:rFonts w:ascii="Calibri" w:hAnsi="Calibri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02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DE72F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D0027C"/>
    <w:pPr>
      <w:keepNext/>
      <w:numPr>
        <w:ilvl w:val="1"/>
        <w:numId w:val="1"/>
      </w:numPr>
      <w:contextualSpacing/>
      <w:outlineLvl w:val="1"/>
    </w:pPr>
  </w:style>
  <w:style w:type="paragraph" w:styleId="Niveauducommentaire3">
    <w:name w:val="Note Level 3"/>
    <w:basedOn w:val="Normal"/>
    <w:uiPriority w:val="99"/>
    <w:unhideWhenUsed/>
    <w:rsid w:val="00D0027C"/>
    <w:pPr>
      <w:keepNext/>
      <w:numPr>
        <w:ilvl w:val="2"/>
        <w:numId w:val="1"/>
      </w:numPr>
      <w:contextualSpacing/>
      <w:outlineLvl w:val="2"/>
    </w:pPr>
  </w:style>
  <w:style w:type="paragraph" w:styleId="Niveauducommentaire4">
    <w:name w:val="Note Level 4"/>
    <w:basedOn w:val="Normal"/>
    <w:uiPriority w:val="99"/>
    <w:unhideWhenUsed/>
    <w:rsid w:val="00D0027C"/>
    <w:pPr>
      <w:keepNext/>
      <w:numPr>
        <w:ilvl w:val="3"/>
        <w:numId w:val="1"/>
      </w:numPr>
      <w:contextualSpacing/>
      <w:outlineLvl w:val="3"/>
    </w:pPr>
  </w:style>
  <w:style w:type="paragraph" w:styleId="Niveauducommentaire5">
    <w:name w:val="Note Level 5"/>
    <w:basedOn w:val="Normal"/>
    <w:uiPriority w:val="99"/>
    <w:unhideWhenUsed/>
    <w:rsid w:val="00D0027C"/>
    <w:pPr>
      <w:keepNext/>
      <w:numPr>
        <w:ilvl w:val="4"/>
        <w:numId w:val="1"/>
      </w:numPr>
      <w:contextualSpacing/>
      <w:outlineLvl w:val="4"/>
    </w:pPr>
  </w:style>
  <w:style w:type="paragraph" w:styleId="Niveauducommentaire6">
    <w:name w:val="Note Level 6"/>
    <w:basedOn w:val="Normal"/>
    <w:uiPriority w:val="99"/>
    <w:semiHidden/>
    <w:unhideWhenUsed/>
    <w:rsid w:val="00DE72F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DE72F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DE72F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DE72F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DE72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E72F6"/>
  </w:style>
  <w:style w:type="paragraph" w:styleId="Titre">
    <w:name w:val="Title"/>
    <w:basedOn w:val="Normal"/>
    <w:next w:val="Normal"/>
    <w:link w:val="TitreCar"/>
    <w:autoRedefine/>
    <w:uiPriority w:val="10"/>
    <w:qFormat/>
    <w:rsid w:val="00A1226A"/>
    <w:pPr>
      <w:pBdr>
        <w:bottom w:val="single" w:sz="8" w:space="1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2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0027C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fr-FR"/>
    </w:rPr>
  </w:style>
  <w:style w:type="character" w:styleId="Textedelespacerserv">
    <w:name w:val="Placeholder Text"/>
    <w:basedOn w:val="Policepardfaut"/>
    <w:uiPriority w:val="99"/>
    <w:semiHidden/>
    <w:rsid w:val="00E97E1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E1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E1E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5F4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7DE"/>
    <w:rPr>
      <w:rFonts w:ascii="Calibri" w:hAnsi="Calibri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02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DE72F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D0027C"/>
    <w:pPr>
      <w:keepNext/>
      <w:numPr>
        <w:ilvl w:val="1"/>
        <w:numId w:val="1"/>
      </w:numPr>
      <w:contextualSpacing/>
      <w:outlineLvl w:val="1"/>
    </w:pPr>
  </w:style>
  <w:style w:type="paragraph" w:styleId="Niveauducommentaire3">
    <w:name w:val="Note Level 3"/>
    <w:basedOn w:val="Normal"/>
    <w:uiPriority w:val="99"/>
    <w:unhideWhenUsed/>
    <w:rsid w:val="00D0027C"/>
    <w:pPr>
      <w:keepNext/>
      <w:numPr>
        <w:ilvl w:val="2"/>
        <w:numId w:val="1"/>
      </w:numPr>
      <w:contextualSpacing/>
      <w:outlineLvl w:val="2"/>
    </w:pPr>
  </w:style>
  <w:style w:type="paragraph" w:styleId="Niveauducommentaire4">
    <w:name w:val="Note Level 4"/>
    <w:basedOn w:val="Normal"/>
    <w:uiPriority w:val="99"/>
    <w:unhideWhenUsed/>
    <w:rsid w:val="00D0027C"/>
    <w:pPr>
      <w:keepNext/>
      <w:numPr>
        <w:ilvl w:val="3"/>
        <w:numId w:val="1"/>
      </w:numPr>
      <w:contextualSpacing/>
      <w:outlineLvl w:val="3"/>
    </w:pPr>
  </w:style>
  <w:style w:type="paragraph" w:styleId="Niveauducommentaire5">
    <w:name w:val="Note Level 5"/>
    <w:basedOn w:val="Normal"/>
    <w:uiPriority w:val="99"/>
    <w:unhideWhenUsed/>
    <w:rsid w:val="00D0027C"/>
    <w:pPr>
      <w:keepNext/>
      <w:numPr>
        <w:ilvl w:val="4"/>
        <w:numId w:val="1"/>
      </w:numPr>
      <w:contextualSpacing/>
      <w:outlineLvl w:val="4"/>
    </w:pPr>
  </w:style>
  <w:style w:type="paragraph" w:styleId="Niveauducommentaire6">
    <w:name w:val="Note Level 6"/>
    <w:basedOn w:val="Normal"/>
    <w:uiPriority w:val="99"/>
    <w:semiHidden/>
    <w:unhideWhenUsed/>
    <w:rsid w:val="00DE72F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DE72F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DE72F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DE72F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DE72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E72F6"/>
  </w:style>
  <w:style w:type="paragraph" w:styleId="Titre">
    <w:name w:val="Title"/>
    <w:basedOn w:val="Normal"/>
    <w:next w:val="Normal"/>
    <w:link w:val="TitreCar"/>
    <w:autoRedefine/>
    <w:uiPriority w:val="10"/>
    <w:qFormat/>
    <w:rsid w:val="00A1226A"/>
    <w:pPr>
      <w:pBdr>
        <w:bottom w:val="single" w:sz="8" w:space="1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2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0027C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fr-FR"/>
    </w:rPr>
  </w:style>
  <w:style w:type="character" w:styleId="Textedelespacerserv">
    <w:name w:val="Placeholder Text"/>
    <w:basedOn w:val="Policepardfaut"/>
    <w:uiPriority w:val="99"/>
    <w:semiHidden/>
    <w:rsid w:val="00E97E1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E1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E1E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5F4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99B7F5-1D11-BC43-B673-73589DC9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684</Words>
  <Characters>3767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68</cp:revision>
  <cp:lastPrinted>2012-01-13T08:57:00Z</cp:lastPrinted>
  <dcterms:created xsi:type="dcterms:W3CDTF">2012-01-13T08:06:00Z</dcterms:created>
  <dcterms:modified xsi:type="dcterms:W3CDTF">2012-01-15T22:11:00Z</dcterms:modified>
</cp:coreProperties>
</file>