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</w:p>
    <w:p w14:paraId="03B7C03D" w14:textId="492BC4A5" w:rsidR="003E2F74" w:rsidRPr="003F0A7D" w:rsidRDefault="003E2F74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EB65C8">
      <w:pPr>
        <w:pStyle w:val="Niveauducommentaire5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Default="00FE4F21" w:rsidP="00EB65C8">
      <w:pPr>
        <w:pStyle w:val="Niveauducommentaire5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p w14:paraId="727F32AF" w14:textId="626A0BEC" w:rsidR="00EB65C8" w:rsidRDefault="00EB65C8" w:rsidP="00EB65C8">
      <w:pPr>
        <w:pStyle w:val="Niveauducommentaire2"/>
      </w:pPr>
      <w:r>
        <w:t>Si on considère le profil R(t) de la route</w:t>
      </w:r>
    </w:p>
    <w:p w14:paraId="14C84775" w14:textId="5B27BB62" w:rsidR="00EB65C8" w:rsidRDefault="00EB65C8" w:rsidP="00EB65C8">
      <w:pPr>
        <w:pStyle w:val="Niveauducommentaire3"/>
      </w:pPr>
      <w:r>
        <w:t>z(t)=Z(t)-R(t)</w:t>
      </w:r>
    </w:p>
    <w:p w14:paraId="4709ACC8" w14:textId="26699911" w:rsidR="00B87BAA" w:rsidRDefault="00B87BAA" w:rsidP="00B87BAA">
      <w:pPr>
        <w:pStyle w:val="Niveauducommentaire3"/>
        <w:rPr>
          <w:rFonts w:ascii="Arial" w:hAnsi="Aria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  <w:bookmarkStart w:id="10" w:name="_GoBack"/>
                <w:bookmarkEnd w:id="10"/>
              </m:e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</m:e>
            </m:eqArr>
          </m:e>
        </m:d>
      </m:oMath>
    </w:p>
    <w:p w14:paraId="7D8E3089" w14:textId="77777777" w:rsidR="00B87BAA" w:rsidRPr="003F0A7D" w:rsidRDefault="00B87BAA" w:rsidP="00EB65C8">
      <w:pPr>
        <w:pStyle w:val="Niveauducommentaire3"/>
      </w:pPr>
    </w:p>
    <w:sectPr w:rsidR="00B87BAA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714FF-1944-5540-96AF-D5D806B5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949</Words>
  <Characters>5225</Characters>
  <Application>Microsoft Macintosh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81</cp:revision>
  <dcterms:created xsi:type="dcterms:W3CDTF">2012-02-22T07:00:00Z</dcterms:created>
  <dcterms:modified xsi:type="dcterms:W3CDTF">2012-03-14T07:45:00Z</dcterms:modified>
</cp:coreProperties>
</file>