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i/>
          <w:b w:val="true"/>
          <w:rFonts w:ascii="Calibri" w:hAnsi="Calibri"/>
          <w:sz w:val="24"/>
          <w:color w:val="333333"/>
        </w:rPr>
        <w:t xml:space="preserve">MAPK8IP3</w:t>
      </w:r>
      <w:r>
        <w:rPr>
          <w:b w:val="true"/>
          <w:rFonts w:ascii="Calibri" w:hAnsi="Calibri"/>
          <w:sz w:val="24"/>
          <w:color w:val="333333"/>
        </w:rPr>
        <w:t xml:space="preserve"> Variant Phenotype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E27X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R578C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R1146C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with clinical data available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Hypotonia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66.67%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Hypertonia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Ataxia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Tremor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Myoclonus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Microcephaly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Delay in gross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Delay in fine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83.33%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Delay in language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Intellectual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66.67%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ADHD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Sensory integration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33.33%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2025-11-04T23:48:21Z</dcterms:created>
  <dcterms:modified xsi:type="dcterms:W3CDTF">2025-11-04T23:48:21Z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