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Variant NM_015133.5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p.E27X</w:t>
            </w:r>
          </w:p>
        </w:tc>
        <w:tc>
          <w:tcPr>
            <w:tcBorders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p.R578C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p.R1146C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 = 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 = 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 = 12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Microcephaly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0C3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597B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80.0%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CF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0000"/>
              </w:rPr>
              <w:t xml:space="default">50.0%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Cognitive Domains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Intellectual disability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5A8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6D9E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0000"/>
              </w:rPr>
              <w:t xml:space="default">60.0%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AC3D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0000"/>
              </w:rPr>
              <w:t xml:space="default">66.7%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Delay in language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5A8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5A8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5A8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100.0%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5A8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0C3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909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0000"/>
              </w:rPr>
              <w:t xml:space="default">25.0%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Sensory integration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0C3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7A80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20.0%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B3B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0000"/>
              </w:rPr>
              <w:t xml:space="default">33.3%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ADHD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5A8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0C3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CF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0000"/>
              </w:rPr>
              <w:t xml:space="default">50.0%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5A8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D0D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0000"/>
              </w:rPr>
              <w:t xml:space="default">40.0%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B3B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0000"/>
              </w:rPr>
              <w:t xml:space="default">33.3%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Motor Domains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Delay in gross motor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5A8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5A8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5A8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100.0%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Delay in fine motor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5A8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597B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80.0%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78CAD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83.3%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5A8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7A80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20.0%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AC3D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0000"/>
              </w:rPr>
              <w:t xml:space="default">66.7%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0C3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6D9E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0000"/>
              </w:rPr>
              <w:t xml:space="default">60.0%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C455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8.3%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5A8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D0D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0000"/>
              </w:rPr>
              <w:t xml:space="default">40.0%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0C3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Myoclonus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0C3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D0D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0000"/>
              </w:rPr>
              <w:t xml:space="default">40.0%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0C3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0C3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D0D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0000"/>
              </w:rPr>
              <w:t xml:space="default">40.0%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0C3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Ataxia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5A8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0C3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0C3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FFFFFF"/>
              </w:rPr>
              <w:t xml:space="default">0.0%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2026-02-23T21:39:55Z</dcterms:created>
  <dcterms:modified xsi:type="dcterms:W3CDTF">2026-02-23T21:39:55Z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