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Strategy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Gene (variant effect)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Disorder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(mechanism)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query (</w:t>
            </w:r>
            <w:r>
              <w:rPr>
                <w:i/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b w:val="true"/>
                <w:rFonts w:ascii="Calibri" w:hAnsi="Calibri"/>
                <w:sz w:val="20"/>
              </w:rPr>
              <w:t xml:space="preserve">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BEACON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Clinical evidence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Direct target modulation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GRIN1</w:t>
            </w:r>
            <w:r>
              <w:rPr>
                <w:rFonts w:ascii="Calibri" w:hAnsi="Calibri"/>
                <w:sz w:val="20"/>
              </w:rPr>
              <w:t xml:space="preserve">/​</w:t>
            </w:r>
            <w:r>
              <w:rPr>
                <w:i/>
                <w:rFonts w:ascii="Calibri" w:hAnsi="Calibri"/>
                <w:sz w:val="20"/>
              </w:rPr>
              <w:t xml:space="preserve">GRIN2A</w:t>
            </w:r>
            <w:r>
              <w:rPr>
                <w:rFonts w:ascii="Calibri" w:hAnsi="Calibri"/>
                <w:sz w:val="20"/>
              </w:rPr>
              <w:t xml:space="preserve">/​</w:t>
            </w:r>
            <w:r>
              <w:rPr>
                <w:i/>
                <w:rFonts w:ascii="Calibri" w:hAnsi="Calibri"/>
                <w:sz w:val="20"/>
              </w:rPr>
              <w:t xml:space="preserve">GRIN2B</w:t>
            </w:r>
            <w:r>
              <w:rPr>
                <w:rFonts w:ascii="Calibri" w:hAnsi="Calibri"/>
                <w:sz w:val="20"/>
              </w:rPr>
              <w:t xml:space="preserve">/​</w:t>
            </w:r>
            <w:r>
              <w:rPr>
                <w:i/>
                <w:rFonts w:ascii="Calibri" w:hAnsi="Calibri"/>
                <w:sz w:val="20"/>
              </w:rPr>
              <w:t xml:space="preserve">GRIN2D</w:t>
            </w:r>
            <w:r>
              <w:rPr>
                <w:rFonts w:ascii="Calibri" w:hAnsi="Calibri"/>
                <w:sz w:val="20"/>
              </w:rPr>
              <w:t xml:space="preserve"> (GOF)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GRIN</w:t>
            </w:r>
            <w:r>
              <w:rPr>
                <w:rFonts w:ascii="Calibri" w:hAnsi="Calibri"/>
                <w:sz w:val="20"/>
              </w:rPr>
              <w:t xml:space="preserve">-related neurodevelopmental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Memantine (open-channel NMDAR blocker)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Gene: </w:t>
            </w:r>
            <w:r>
              <w:rPr>
                <w:i/>
                <w:rFonts w:ascii="Calibri" w:hAnsi="Calibri"/>
                <w:sz w:val="20"/>
              </w:rPr>
              <w:t xml:space="preserve">GRIN1</w:t>
            </w:r>
            <w:r>
              <w:rPr>
                <w:rFonts w:ascii="Calibri" w:hAnsi="Calibri"/>
                <w:sz w:val="20"/>
              </w:rPr>
              <w:t xml:space="preserve"> (975)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Retrospective observational study, n=34 (19 GOF); 74% of GOF cases benefited, with improvements in behavior (71%), development (50%) and seizure frequency (39%) (Karnstedt et al., 2026)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Direct target modulation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KCNC1</w:t>
            </w:r>
            <w:r>
              <w:rPr>
                <w:rFonts w:ascii="Calibri" w:hAnsi="Calibri"/>
                <w:sz w:val="20"/>
              </w:rPr>
              <w:t xml:space="preserve"> p.Val425Met (GOF)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KCNC1</w:t>
            </w:r>
            <w:r>
              <w:rPr>
                <w:rFonts w:ascii="Calibri" w:hAnsi="Calibri"/>
                <w:sz w:val="20"/>
              </w:rPr>
              <w:t xml:space="preserve">-related DEE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Fluoxetine (Kv3.1 inhibitor)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Gene: </w:t>
            </w:r>
            <w:r>
              <w:rPr>
                <w:i/>
                <w:rFonts w:ascii="Calibri" w:hAnsi="Calibri"/>
                <w:sz w:val="20"/>
              </w:rPr>
              <w:t xml:space="preserve">KCNC1</w:t>
            </w:r>
            <w:r>
              <w:rPr>
                <w:rFonts w:ascii="Calibri" w:hAnsi="Calibri"/>
                <w:sz w:val="20"/>
              </w:rPr>
              <w:t xml:space="preserve"> (230)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Case report, n=1, with supporting patch-clamp; seizures resolved, balance, gross motor and oculomotor function improved (Ambrosino et al., 2023)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Metabolic cofactor rescue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ALDH7A1</w:t>
            </w:r>
            <w:r>
              <w:rPr>
                <w:rFonts w:ascii="Calibri" w:hAnsi="Calibri"/>
                <w:sz w:val="20"/>
              </w:rPr>
              <w:t xml:space="preserve"> (biallelic LOF)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Pyridoxine-dependent epilepsy (PDE-</w:t>
            </w:r>
            <w:r>
              <w:rPr>
                <w:i/>
                <w:rFonts w:ascii="Calibri" w:hAnsi="Calibri"/>
                <w:sz w:val="20"/>
              </w:rPr>
              <w:t xml:space="preserve">ALDH7A1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Pyridoxine (PLP precursor; replenishes inactivated PLP pool)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Phenotype: status epilepticus (219)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Cohort, n=11; 73% seizure-free (Al Teneiji et al., 2017)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Metabolic deficiency replacement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BTD</w:t>
            </w:r>
            <w:r>
              <w:rPr>
                <w:rFonts w:ascii="Calibri" w:hAnsi="Calibri"/>
                <w:sz w:val="20"/>
              </w:rPr>
              <w:t xml:space="preserve"> (biallelic LOF)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Biotinidase deficiency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Biotin (replaces free biotin not recycled by biotinidase)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Phenotype: global developmental delay (200); Disease: biotinidase deficiency (569)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Standard of care; NBS cohort, n=33: normal neuropsychological outcome with early biotin (Möslinger et al., 2001; Wolf, 2026)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Downstream pathway normalization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FMR1</w:t>
            </w:r>
            <w:r>
              <w:rPr>
                <w:rFonts w:ascii="Calibri" w:hAnsi="Calibri"/>
                <w:sz w:val="20"/>
              </w:rPr>
              <w:t xml:space="preserve"> (CGG repeat expansion; LOF)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Fragile X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Metformin (suppresses ERK signaling)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Downstream target: </w:t>
            </w:r>
            <w:r>
              <w:rPr>
                <w:i/>
                <w:rFonts w:ascii="Calibri" w:hAnsi="Calibri"/>
                <w:sz w:val="20"/>
              </w:rPr>
              <w:t xml:space="preserve">MAPK3</w:t>
            </w:r>
            <w:r>
              <w:rPr>
                <w:rFonts w:ascii="Calibri" w:hAnsi="Calibri"/>
                <w:sz w:val="20"/>
              </w:rPr>
              <w:t xml:space="preserve">/ERK1 (235)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Preclinical mouse model (Gantois et al., 2017); RCT, n=34, mixed results with improved hyperactivity and sleep (Zhu et al., 2025)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2026-10-01T19:29:11Z</dcterms:created>
  <dcterms:modified xsi:type="dcterms:W3CDTF">2026-10-01T19:29:11Z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