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antidepressant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Sleeplessness, 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(GABRG2) modulator, Symptomatic relief (ataxia)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sedative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modulator, Symptomatic relief (ADHD, 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Sleeplessness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SNRI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modulator, 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Epilepsy, 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(intellectual disability)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Sleeplessness, 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antidiabetic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(GABRA1, GABRG2, 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(anxiety, tremor)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(ADHD)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modulator, Symptomatic relief (anxiety, tremor)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(STX1A)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(GABRG2) modulator, Symptomatic relief (anxiety)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(intellectual disability)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2025-12-02T04:46:28Z</dcterms:created>
  <dcterms:modified xsi:type="dcterms:W3CDTF">2025-12-02T04:46:28Z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