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Variant NM_015133.5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p.E27X</w:t>
            </w:r>
          </w:p>
        </w:tc>
        <w:tc>
          <w:tcPr>
            <w:tcBorders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p.R578C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p.R1146C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 = 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 = 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 = 12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vAlign w:val="center"/>
            <w:tcMar>
              <w:top w:w="25" w:type="dxa"/>
            </w:tcMar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8px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Microcephaly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vAlign w:val="center"/>
            <w:tcMar>
              <w:top w:w="25" w:type="dxa"/>
            </w:tcMar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8px"/>
              </w:rPr>
              <w:t xml:space="default">Cognitive Domains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Delay in language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Sensory integration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ADHD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vAlign w:val="center"/>
            <w:tcMar>
              <w:top w:w="25" w:type="dxa"/>
            </w:tcMar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8px"/>
              </w:rPr>
              <w:t xml:space="default">Motor Domains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Delay in gross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Delay in fine motor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Myoclonus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Ataxia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2026-02-27T17:10:56Z</dcterms:created>
  <dcterms:modified xsi:type="dcterms:W3CDTF">2026-02-27T17:10:56Z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