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Unravel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Targeted Symptoms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Pathway Modulated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PRDM1, ↑ DLG4, ↑ FOSL2, ↑ CTCF, ↑ SMAD5, ↑ ELF1, ↑ ETS1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RLIM, ↑ DLG4, ↑ FOSL2,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RLIM, ↑ FOSL2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congenital laryngomalacia, arthrogryposis multiplex congenita, congenital vertical talus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PRDM1, ↑ FOSL2, ↑ CTCF, ↑ SMAD5,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DLG4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congenital vertical talus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PRDM1, ↑ RLIM, ↑ FOSL2, ↑ SMAD5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RLIM, ↑ DLG4, ↑ FOSL2, ↑ ELF1, ↑ ETS1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arthrogryposis multiplex congenita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PRDM1, ↑ RLIM, ↑ FOSL2, ↑ CTCF, ↑ SMAD5, ↑ ETS1,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movement disorder, hypotonia, congenital vertical talus, dystonia, developmental delay, arthrogryposis multiplex congenita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RLIM, ↑ SMAD5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intellectual disability, atrial septal defect, congenital vertical talus, congenital laryngomalacia, 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FOSL2, ↑ FOS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2026-01-23T22:57:53Z</dcterms:created>
  <dcterms:modified xsi:type="dcterms:W3CDTF">2026-01-23T22:57:53Z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