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28"/>
        </w:rPr>
        <w:t>Case Study: Keeping the Public Safe - Supporting the Police with Specialist Removals and Disposals</w:t>
      </w:r>
    </w:p>
    <w:p>
      <w:pPr>
        <w:jc w:val="left"/>
      </w:pPr>
      <w:r>
        <w:rPr>
          <w:sz w:val="22"/>
        </w:rPr>
      </w:r>
    </w:p>
    <w:p>
      <w:pPr>
        <w:jc w:val="left"/>
      </w:pPr>
      <w:r>
        <w:rPr>
          <w:sz w:val="22"/>
        </w:rPr>
        <w:t>Same Day PLC, operating as Guardian Service, collaborates with various police authorities to provide secure transportation and destruction of weapons, illegal drugs, and other confiscated assets. This process ensures transparency and compliance with regulations. The company aims to make these items irretrievable, beyond reuse and identification, enhancing public safety.</w:t>
      </w:r>
    </w:p>
    <w:p>
      <w:pPr>
        <w:jc w:val="left"/>
      </w:pPr>
      <w:r>
        <w:rPr>
          <w:sz w:val="22"/>
        </w:rPr>
      </w:r>
    </w:p>
    <w:p>
      <w:pPr>
        <w:jc w:val="left"/>
      </w:pPr>
      <w:r>
        <w:rPr>
          <w:b/>
          <w:sz w:val="28"/>
        </w:rPr>
        <w:t>Benefits of Specialist Disposal Services</w:t>
      </w:r>
    </w:p>
    <w:p>
      <w:pPr>
        <w:jc w:val="left"/>
      </w:pPr>
      <w:r>
        <w:rPr>
          <w:sz w:val="22"/>
        </w:rPr>
      </w:r>
    </w:p>
    <w:p>
      <w:pPr>
        <w:pStyle w:val="ListBullet"/>
      </w:pPr>
      <w:r>
        <w:rPr>
          <w:sz w:val="22"/>
        </w:rPr>
        <w:t>Law enforcement personnel can focus on their primary duties by outsourcing disposal tasks.</w:t>
      </w:r>
    </w:p>
    <w:p>
      <w:pPr>
        <w:pStyle w:val="ListBullet"/>
      </w:pPr>
      <w:r>
        <w:rPr>
          <w:sz w:val="22"/>
        </w:rPr>
        <w:t>Items are destroyed in a way that prevents reuse or identification.</w:t>
      </w:r>
    </w:p>
    <w:p>
      <w:pPr>
        <w:pStyle w:val="ListBullet"/>
      </w:pPr>
      <w:r>
        <w:rPr>
          <w:sz w:val="22"/>
        </w:rPr>
        <w:t>The destruction process is thorough and compliant with regulations, providing peace of mind.</w:t>
      </w:r>
    </w:p>
    <w:p>
      <w:pPr>
        <w:pStyle w:val="ListBullet"/>
      </w:pPr>
      <w:r>
        <w:rPr>
          <w:sz w:val="22"/>
        </w:rPr>
        <w:t>Compliance with Waste Management Regulations is ensured through approved methods.</w:t>
      </w:r>
    </w:p>
    <w:p>
      <w:pPr>
        <w:pStyle w:val="ListBullet"/>
      </w:pPr>
      <w:r>
        <w:rPr>
          <w:sz w:val="22"/>
        </w:rPr>
        <w:t>Safety and security are prioritised in handling high-risk and high-value items.</w:t>
      </w:r>
    </w:p>
    <w:p>
      <w:pPr>
        <w:pStyle w:val="ListBullet"/>
      </w:pPr>
      <w:r>
        <w:rPr>
          <w:sz w:val="22"/>
        </w:rPr>
        <w:t>Partnerships with certified disposal services simplify processes and enhance operational efficiency.</w:t>
      </w:r>
    </w:p>
    <w:p>
      <w:pPr>
        <w:pStyle w:val="ListBullet"/>
      </w:pPr>
      <w:r>
        <w:rPr>
          <w:sz w:val="22"/>
        </w:rPr>
        <w:t>Resources are allocated effectively, optimising police authorities' commitment to public safety.</w:t>
      </w:r>
    </w:p>
    <w:p>
      <w:pPr>
        <w:jc w:val="left"/>
      </w:pPr>
      <w:r>
        <w:rPr>
          <w:b/>
          <w:sz w:val="28"/>
        </w:rPr>
        <w:t>Expert Handling of High-Risk Items</w:t>
      </w:r>
    </w:p>
    <w:p>
      <w:pPr>
        <w:jc w:val="left"/>
      </w:pPr>
      <w:r>
        <w:rPr>
          <w:sz w:val="22"/>
        </w:rPr>
      </w:r>
    </w:p>
    <w:p>
      <w:pPr>
        <w:jc w:val="left"/>
      </w:pPr>
      <w:r>
        <w:rPr>
          <w:sz w:val="22"/>
        </w:rPr>
        <w:t>Same Day PLC Guardian Service offers reliable solutions for the safe disposal of items such as guns, ammunition, explosives, pyrotechnics, specialist gas, and knives. These items require careful handling by professionals to ensure complete destruction and prevent any chance of reuse.</w:t>
      </w:r>
    </w:p>
    <w:p>
      <w:pPr>
        <w:jc w:val="left"/>
      </w:pPr>
      <w:r>
        <w:rPr>
          <w:sz w:val="22"/>
        </w:rPr>
      </w:r>
    </w:p>
    <w:p>
      <w:pPr>
        <w:jc w:val="left"/>
      </w:pPr>
      <w:r>
        <w:rPr>
          <w:b/>
          <w:sz w:val="28"/>
        </w:rPr>
        <w:t>Crown Commercial Service (CCS) Framework Agreements</w:t>
      </w:r>
    </w:p>
    <w:p>
      <w:pPr>
        <w:jc w:val="left"/>
      </w:pPr>
      <w:r>
        <w:rPr>
          <w:sz w:val="22"/>
        </w:rPr>
      </w:r>
    </w:p>
    <w:p>
      <w:pPr>
        <w:jc w:val="left"/>
      </w:pPr>
      <w:r>
        <w:rPr>
          <w:sz w:val="22"/>
        </w:rPr>
        <w:t>Police authorities contacted the Crown Commercial Service (CCS) to explore available framework agreements, aiming to find a compliant method to access the market and identify the right supplier. Under the RM6171 courier and specialist movements, lot 5 provides a managed service for explosive substances, firearms, and weapons. This collaboration streamlines the process, making it more efficient for all parties involved.</w:t>
      </w:r>
    </w:p>
    <w:p>
      <w:pPr>
        <w:jc w:val="left"/>
      </w:pPr>
      <w:r>
        <w:rPr>
          <w:sz w:val="22"/>
        </w:rPr>
      </w:r>
    </w:p>
    <w:p>
      <w:pPr>
        <w:jc w:val="left"/>
      </w:pPr>
      <w:r>
        <w:rPr>
          <w:b/>
          <w:sz w:val="28"/>
        </w:rPr>
        <w:t>Efficient Contract Process</w:t>
      </w:r>
    </w:p>
    <w:p>
      <w:pPr>
        <w:jc w:val="left"/>
      </w:pPr>
      <w:r>
        <w:rPr>
          <w:sz w:val="22"/>
        </w:rPr>
      </w:r>
    </w:p>
    <w:p>
      <w:pPr>
        <w:jc w:val="left"/>
      </w:pPr>
      <w:r>
        <w:rPr>
          <w:sz w:val="22"/>
        </w:rPr>
        <w:t>The Crown Commercial Service has simplified the contract process, removing unnecessary complexities. Once the framework met the needs, police authorities' buying teams began the tender process, awarding contracts to Same Day PLC Guardian Service. Working with a flexible company with the required approvals, permits, and security clearance is a wise choice for managing projects effectively.</w:t>
      </w:r>
    </w:p>
    <w:p>
      <w:pPr>
        <w:jc w:val="left"/>
      </w:pPr>
      <w:r>
        <w:rPr>
          <w:sz w:val="22"/>
        </w:rPr>
      </w:r>
    </w:p>
    <w:p>
      <w:pPr>
        <w:jc w:val="left"/>
      </w:pPr>
      <w:r>
        <w:rPr>
          <w:b/>
          <w:sz w:val="28"/>
        </w:rPr>
        <w:t>Customer Testimonials</w:t>
      </w:r>
    </w:p>
    <w:p>
      <w:pPr>
        <w:jc w:val="left"/>
      </w:pPr>
      <w:r>
        <w:rPr>
          <w:sz w:val="22"/>
        </w:rPr>
      </w:r>
    </w:p>
    <w:p>
      <w:pPr>
        <w:pStyle w:val="ListBullet"/>
      </w:pPr>
      <w:r>
        <w:rPr>
          <w:sz w:val="22"/>
        </w:rPr>
        <w:t>"Everything has been very professional and well managed, which we greatly value."</w:t>
      </w:r>
    </w:p>
    <w:p>
      <w:pPr>
        <w:pStyle w:val="ListBullet"/>
      </w:pPr>
      <w:r>
        <w:rPr>
          <w:sz w:val="22"/>
        </w:rPr>
        <w:t>"I am not sure how we managed before Guardian Sameday. They have become essential to our work."</w:t>
      </w:r>
    </w:p>
    <w:p>
      <w:pPr>
        <w:pStyle w:val="ListBullet"/>
      </w:pPr>
      <w:r>
        <w:rPr>
          <w:sz w:val="22"/>
        </w:rPr>
        <w:t>"I recommend this business because they are always open to unique disposal solutions."</w:t>
      </w:r>
    </w:p>
    <w:p>
      <w:pPr>
        <w:jc w:val="left"/>
      </w:pPr>
      <w:r>
        <w:rPr>
          <w:b/>
          <w:sz w:val="28"/>
        </w:rPr>
        <w:t>Transport and Monitoring</w:t>
      </w:r>
    </w:p>
    <w:p>
      <w:pPr>
        <w:jc w:val="left"/>
      </w:pPr>
      <w:r>
        <w:rPr>
          <w:sz w:val="22"/>
        </w:rPr>
      </w:r>
    </w:p>
    <w:p>
      <w:pPr>
        <w:jc w:val="left"/>
      </w:pPr>
      <w:r>
        <w:rPr>
          <w:sz w:val="22"/>
        </w:rPr>
        <w:t>The transport used is equipped with CCTV, allowing continuous monitoring of movements, providing peace of mind. Most items are collected and disposed of on the same day, minimising the risk of losing items needing special disposal.</w:t>
      </w:r>
    </w:p>
    <w:p>
      <w:pPr>
        <w:jc w:val="left"/>
      </w:pPr>
      <w:r>
        <w:rPr>
          <w:sz w:val="22"/>
        </w:rPr>
      </w:r>
    </w:p>
    <w:p>
      <w:pPr>
        <w:jc w:val="left"/>
      </w:pPr>
      <w:r>
        <w:rPr>
          <w:b/>
          <w:sz w:val="28"/>
        </w:rPr>
        <w:t>Events Digital Specialists and Programmes (DSP) [RM6263] Knowledge Share Forum</w:t>
      </w:r>
    </w:p>
    <w:p>
      <w:pPr>
        <w:jc w:val="left"/>
      </w:pPr>
      <w:r>
        <w:rPr>
          <w:sz w:val="22"/>
        </w:rPr>
      </w:r>
    </w:p>
    <w:p>
      <w:pPr>
        <w:jc w:val="left"/>
      </w:pPr>
      <w:r>
        <w:rPr>
          <w:sz w:val="22"/>
        </w:rPr>
        <w:t>Benefits of attending:</w:t>
      </w:r>
    </w:p>
    <w:p>
      <w:pPr>
        <w:jc w:val="left"/>
      </w:pPr>
      <w:r>
        <w:rPr>
          <w:sz w:val="22"/>
        </w:rPr>
      </w:r>
    </w:p>
    <w:p>
      <w:pPr>
        <w:pStyle w:val="ListBullet"/>
      </w:pPr>
      <w:r>
        <w:rPr>
          <w:sz w:val="22"/>
        </w:rPr>
        <w:t>Gain a deeper understanding of the CCS [RM6263] framework.</w:t>
      </w:r>
    </w:p>
    <w:p>
      <w:pPr>
        <w:pStyle w:val="ListBullet"/>
      </w:pPr>
      <w:r>
        <w:rPr>
          <w:sz w:val="22"/>
        </w:rPr>
        <w:t>Learn practical strategies and tools for effective navigation.</w:t>
      </w:r>
    </w:p>
    <w:p>
      <w:pPr>
        <w:pStyle w:val="ListBullet"/>
      </w:pPr>
      <w:r>
        <w:rPr>
          <w:sz w:val="22"/>
        </w:rPr>
        <w:t>Connect with peers and experts in the field.</w:t>
      </w:r>
    </w:p>
    <w:p>
      <w:pPr>
        <w:pStyle w:val="ListBullet"/>
      </w:pPr>
      <w:r>
        <w:rPr>
          <w:sz w:val="22"/>
        </w:rPr>
        <w:t>Flexible scheduling to fit your availability.</w:t>
      </w:r>
    </w:p>
    <w:p>
      <w:pPr>
        <w:jc w:val="left"/>
      </w:pPr>
      <w:r>
        <w:rPr>
          <w:b/>
          <w:sz w:val="28"/>
        </w:rPr>
        <w:t>IT Hardware Aggregation</w:t>
      </w:r>
    </w:p>
    <w:p>
      <w:pPr>
        <w:jc w:val="left"/>
      </w:pPr>
      <w:r>
        <w:rPr>
          <w:sz w:val="22"/>
        </w:rPr>
      </w:r>
    </w:p>
    <w:p>
      <w:pPr>
        <w:jc w:val="left"/>
      </w:pPr>
      <w:r>
        <w:rPr>
          <w:sz w:val="22"/>
        </w:rPr>
        <w:t>We are organising a combined competition to help customers purchase IT hardware and related services. This opportunity is open to any public sector organisation and will be conducted as a further competition. We have helped 60 customers save over £5,600,000 on IT hardware through a group initiative, achieving an average savings of 20% compared to market prices.</w:t>
      </w:r>
    </w:p>
    <w:p>
      <w:pPr>
        <w:jc w:val="left"/>
      </w:pPr>
      <w:r>
        <w:rPr>
          <w:sz w:val="22"/>
        </w:rPr>
      </w:r>
    </w:p>
    <w:p>
      <w:pPr>
        <w:jc w:val="left"/>
      </w:pPr>
      <w:r>
        <w:rPr>
          <w:b/>
          <w:sz w:val="28"/>
        </w:rPr>
        <w:t>Timeline</w:t>
      </w:r>
    </w:p>
    <w:p>
      <w:pPr>
        <w:jc w:val="left"/>
      </w:pPr>
      <w:r>
        <w:rPr>
          <w:sz w:val="22"/>
        </w:rPr>
      </w:r>
    </w:p>
    <w:p>
      <w:pPr>
        <w:pStyle w:val="ListBullet"/>
      </w:pPr>
      <w:r>
        <w:rPr>
          <w:sz w:val="22"/>
        </w:rPr>
        <w:t>Customer requirements need to be submitted by 31 January 2024.</w:t>
      </w:r>
    </w:p>
    <w:p>
      <w:pPr>
        <w:pStyle w:val="ListBullet"/>
      </w:pPr>
      <w:r>
        <w:rPr>
          <w:sz w:val="22"/>
        </w:rPr>
        <w:t>Buying will be published on 7 February 2024.</w:t>
      </w:r>
    </w:p>
    <w:p>
      <w:pPr>
        <w:pStyle w:val="ListBullet"/>
      </w:pPr>
      <w:r>
        <w:rPr>
          <w:sz w:val="22"/>
        </w:rPr>
        <w:t>The tender will close on 21 February 2024.</w:t>
      </w:r>
    </w:p>
    <w:p>
      <w:pPr>
        <w:pStyle w:val="ListBullet"/>
      </w:pPr>
      <w:r>
        <w:rPr>
          <w:sz w:val="22"/>
        </w:rPr>
        <w:t>The eAuction will take place on 6 March 2024.</w:t>
      </w:r>
    </w:p>
    <w:p>
      <w:pPr>
        <w:pStyle w:val="ListBullet"/>
      </w:pPr>
      <w:r>
        <w:rPr>
          <w:sz w:val="22"/>
        </w:rPr>
        <w:t>Awards will be announced on 20 March 2024.</w:t>
      </w:r>
    </w:p>
    <w:p>
      <w:pPr>
        <w:jc w:val="left"/>
      </w:pPr>
      <w:r>
        <w:rPr>
          <w:b/>
          <w:sz w:val="28"/>
        </w:rPr>
        <w:t>Cloud Compute Agreement</w:t>
      </w:r>
    </w:p>
    <w:p>
      <w:pPr>
        <w:jc w:val="left"/>
      </w:pPr>
      <w:r>
        <w:rPr>
          <w:sz w:val="22"/>
        </w:rPr>
      </w:r>
    </w:p>
    <w:p>
      <w:pPr>
        <w:jc w:val="left"/>
      </w:pPr>
      <w:r>
        <w:rPr>
          <w:sz w:val="22"/>
        </w:rPr>
        <w:t>The latest iteration of the Cloud Compute agreement, RM6292, offers more options and value to the public sector. It provides access to a wide range of cloud technology solutions, allowing customers to customise their cloud solutions to meet specific needs. Important features include:</w:t>
      </w:r>
    </w:p>
    <w:p>
      <w:pPr>
        <w:jc w:val="left"/>
      </w:pPr>
      <w:r>
        <w:rPr>
          <w:sz w:val="22"/>
        </w:rPr>
      </w:r>
    </w:p>
    <w:p>
      <w:pPr>
        <w:pStyle w:val="ListBullet"/>
      </w:pPr>
      <w:r>
        <w:rPr>
          <w:sz w:val="22"/>
        </w:rPr>
        <w:t>Continued access to infrastructure as a service (IaaS) and platform as a service (PaaS) products.</w:t>
      </w:r>
    </w:p>
    <w:p>
      <w:pPr>
        <w:pStyle w:val="ListBullet"/>
      </w:pPr>
      <w:r>
        <w:rPr>
          <w:sz w:val="22"/>
        </w:rPr>
        <w:t>Ability to quickly scale services up or down.</w:t>
      </w:r>
    </w:p>
    <w:p>
      <w:pPr>
        <w:pStyle w:val="ListBullet"/>
      </w:pPr>
      <w:r>
        <w:rPr>
          <w:sz w:val="22"/>
        </w:rPr>
        <w:t>Extended call-off options for organisations.</w:t>
      </w:r>
    </w:p>
    <w:p>
      <w:pPr>
        <w:pStyle w:val="ListBullet"/>
      </w:pPr>
      <w:r>
        <w:rPr>
          <w:sz w:val="22"/>
        </w:rPr>
        <w:t>Enhanced customisation options for selecting suitable services.</w:t>
      </w:r>
    </w:p>
    <w:p>
      <w:pPr>
        <w:jc w:val="left"/>
      </w:pPr>
      <w:r>
        <w:rPr>
          <w:b/>
          <w:sz w:val="28"/>
        </w:rPr>
        <w:t>Lot Details</w:t>
      </w:r>
    </w:p>
    <w:p>
      <w:pPr>
        <w:jc w:val="left"/>
      </w:pPr>
      <w:r>
        <w:rPr>
          <w:sz w:val="22"/>
        </w:rPr>
      </w:r>
    </w:p>
    <w:p>
      <w:pPr>
        <w:pStyle w:val="ListBullet"/>
      </w:pPr>
      <w:r>
        <w:rPr>
          <w:sz w:val="22"/>
        </w:rPr>
        <w:t>Lot 1 Public cloud</w:t>
      </w:r>
    </w:p>
    <w:p>
      <w:pPr>
        <w:pStyle w:val="ListBullet"/>
      </w:pPr>
      <w:r>
        <w:rPr>
          <w:sz w:val="22"/>
        </w:rPr>
        <w:t>Lot 2 Value-added services</w:t>
      </w:r>
    </w:p>
    <w:p>
      <w:pPr>
        <w:pStyle w:val="ListBullet"/>
      </w:pPr>
      <w:r>
        <w:rPr>
          <w:sz w:val="22"/>
        </w:rPr>
        <w:t>Lot 3 Public cloud support services</w:t>
      </w:r>
    </w:p>
    <w:p>
      <w:pPr>
        <w:pStyle w:val="ListBullet"/>
      </w:pPr>
      <w:r>
        <w:rPr>
          <w:sz w:val="22"/>
        </w:rPr>
        <w:t>Lot 4 Cloud Secure+</w:t>
      </w:r>
    </w:p>
    <w:p>
      <w:pPr>
        <w:jc w:val="left"/>
      </w:pPr>
      <w:r>
        <w:rPr>
          <w:b/>
          <w:sz w:val="28"/>
        </w:rPr>
        <w:t>Contact Information</w:t>
      </w:r>
    </w:p>
    <w:p>
      <w:pPr>
        <w:jc w:val="left"/>
      </w:pPr>
      <w:r>
        <w:rPr>
          <w:sz w:val="22"/>
        </w:rPr>
      </w:r>
    </w:p>
    <w:p>
      <w:pPr>
        <w:jc w:val="left"/>
      </w:pPr>
      <w:r>
        <w:rPr>
          <w:sz w:val="22"/>
        </w:rPr>
        <w:t>To learn more about RM6292, visit the agreement webpage or contact our service desk at the provided email or call 0345 410 2222. Discover how to include policy considerations in your purchasing decisions with our interactive digital brochure.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