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67" w:rsidRDefault="00793867" w:rsidP="00793867">
      <w:pPr>
        <w:autoSpaceDE w:val="0"/>
        <w:autoSpaceDN w:val="0"/>
        <w:adjustRightInd w:val="0"/>
        <w:spacing w:after="0" w:line="240" w:lineRule="auto"/>
        <w:rPr>
          <w:b/>
          <w:caps/>
        </w:rPr>
      </w:pPr>
    </w:p>
    <w:p w:rsidR="00793867" w:rsidRDefault="000E719D" w:rsidP="00793867">
      <w:pPr>
        <w:spacing w:before="240"/>
        <w:jc w:val="center"/>
        <w:rPr>
          <w:b/>
          <w:caps/>
        </w:rPr>
      </w:pPr>
      <w:r>
        <w:rPr>
          <w:b/>
          <w:caps/>
        </w:rPr>
        <w:t>BUYER</w:t>
      </w:r>
    </w:p>
    <w:p w:rsidR="00793867" w:rsidRDefault="000E719D" w:rsidP="000E719D">
      <w:pPr>
        <w:tabs>
          <w:tab w:val="left" w:pos="810"/>
          <w:tab w:val="center" w:pos="4513"/>
        </w:tabs>
        <w:spacing w:before="240"/>
        <w:rPr>
          <w:b/>
          <w:caps/>
        </w:rPr>
      </w:pPr>
      <w:r>
        <w:rPr>
          <w:b/>
          <w:caps/>
        </w:rPr>
        <w:tab/>
      </w:r>
      <w:r>
        <w:rPr>
          <w:b/>
          <w:caps/>
        </w:rPr>
        <w:tab/>
      </w:r>
      <w:r w:rsidR="00793867">
        <w:rPr>
          <w:b/>
          <w:caps/>
        </w:rPr>
        <w:t>and</w:t>
      </w:r>
    </w:p>
    <w:p w:rsidR="00793867" w:rsidRDefault="00793867" w:rsidP="00793867">
      <w:pPr>
        <w:spacing w:before="240"/>
        <w:jc w:val="center"/>
        <w:rPr>
          <w:b/>
          <w:caps/>
        </w:rPr>
      </w:pPr>
      <w:r>
        <w:rPr>
          <w:b/>
          <w:caps/>
        </w:rPr>
        <w:t>SUPPLIER</w:t>
      </w:r>
    </w:p>
    <w:p w:rsidR="00793867" w:rsidRDefault="00793867" w:rsidP="00793867">
      <w:pPr>
        <w:spacing w:before="240"/>
        <w:jc w:val="center"/>
        <w:rPr>
          <w:b/>
          <w:caps/>
        </w:rPr>
      </w:pPr>
      <w:r>
        <w:rPr>
          <w:b/>
          <w:caps/>
        </w:rPr>
        <w:t>FACILITIES MANAGEMENT Marketplace contract</w:t>
      </w:r>
    </w:p>
    <w:p w:rsidR="00793867" w:rsidRDefault="00793867" w:rsidP="00793867">
      <w:pPr>
        <w:spacing w:before="240"/>
        <w:jc w:val="center"/>
        <w:rPr>
          <w:b/>
          <w:caps/>
        </w:rPr>
      </w:pPr>
      <w:r>
        <w:rPr>
          <w:b/>
          <w:caps/>
        </w:rPr>
        <w:t>REF: RM3830</w:t>
      </w:r>
    </w:p>
    <w:p w:rsidR="00793867" w:rsidRDefault="00793867" w:rsidP="00793867">
      <w:pPr>
        <w:rPr>
          <w:b/>
          <w:caps/>
        </w:rPr>
      </w:pPr>
    </w:p>
    <w:p w:rsidR="00793867" w:rsidRDefault="00793867" w:rsidP="00793867">
      <w:pPr>
        <w:rPr>
          <w:b/>
          <w:caps/>
        </w:rPr>
      </w:pPr>
      <w:bookmarkStart w:id="0" w:name="_GoBack"/>
      <w:bookmarkEnd w:id="0"/>
      <w:r>
        <w:rPr>
          <w:b/>
          <w:caps/>
        </w:rPr>
        <w:br w:type="page"/>
      </w:r>
    </w:p>
    <w:p w:rsidR="00793867" w:rsidRDefault="00793867">
      <w:pPr>
        <w:rPr>
          <w:b/>
          <w:caps/>
        </w:rPr>
      </w:pPr>
    </w:p>
    <w:p w:rsidR="00F77E4A" w:rsidRDefault="00416DEE">
      <w:pPr>
        <w:pStyle w:val="Header"/>
        <w:jc w:val="center"/>
        <w:rPr>
          <w:b/>
          <w:caps/>
        </w:rPr>
      </w:pPr>
      <w:r>
        <w:rPr>
          <w:b/>
          <w:caps/>
        </w:rPr>
        <w:t>Call-Off Schedule 1</w:t>
      </w:r>
    </w:p>
    <w:p w:rsidR="00F77E4A" w:rsidRDefault="00F77E4A">
      <w:pPr>
        <w:pStyle w:val="Header"/>
        <w:jc w:val="center"/>
        <w:rPr>
          <w:b/>
          <w:caps/>
        </w:rPr>
      </w:pPr>
    </w:p>
    <w:p w:rsidR="00F77E4A" w:rsidRDefault="00416DEE">
      <w:pPr>
        <w:pStyle w:val="GPSSchTitleandNumber"/>
        <w:rPr>
          <w:rFonts w:asciiTheme="minorHAnsi" w:hAnsiTheme="minorHAnsi"/>
        </w:rPr>
      </w:pPr>
      <w:r>
        <w:rPr>
          <w:rFonts w:asciiTheme="minorHAnsi" w:hAnsiTheme="minorHAnsi"/>
        </w:rPr>
        <w:t>TRANSPARENCY REPORTS</w:t>
      </w:r>
    </w:p>
    <w:p w:rsidR="00F77E4A" w:rsidRDefault="00416DEE">
      <w:pPr>
        <w:spacing w:after="0"/>
        <w:ind w:left="360" w:hanging="360"/>
        <w:jc w:val="both"/>
        <w:rPr>
          <w:rFonts w:eastAsia="Calibri"/>
          <w:color w:val="000000"/>
          <w:lang w:eastAsia="en-GB"/>
        </w:rPr>
      </w:pPr>
      <w:r>
        <w:rPr>
          <w:rFonts w:eastAsia="Calibri"/>
          <w:color w:val="000000"/>
          <w:lang w:eastAsia="en-GB"/>
        </w:rPr>
        <w:t xml:space="preserve">1.1 </w:t>
      </w:r>
      <w:r>
        <w:rPr>
          <w:rFonts w:eastAsia="Calibri"/>
          <w:color w:val="000000"/>
          <w:lang w:eastAsia="en-GB"/>
        </w:rPr>
        <w:tab/>
        <w:t>The Supplier recognises that the Buyer is subject to PPN 01/17 (Updates to transparency principles v1.1 (</w:t>
      </w:r>
      <w:hyperlink r:id="rId6" w:history="1">
        <w:r>
          <w:rPr>
            <w:rStyle w:val="Hyperlink"/>
            <w:rFonts w:eastAsia="Calibri"/>
            <w:lang w:eastAsia="en-GB"/>
          </w:rPr>
          <w:t>https://www.gov.uk/government/publications/procurement-policy-note-0117-update-to-transparency-pr</w:t>
        </w:r>
        <w:bookmarkStart w:id="1" w:name="LASTCURSORPOSITION"/>
        <w:bookmarkEnd w:id="1"/>
        <w:r>
          <w:rPr>
            <w:rStyle w:val="Hyperlink"/>
            <w:rFonts w:eastAsia="Calibri"/>
            <w:lang w:eastAsia="en-GB"/>
          </w:rPr>
          <w:t>inciples</w:t>
        </w:r>
      </w:hyperlink>
      <w:r>
        <w:rPr>
          <w:rFonts w:eastAsia="Calibri"/>
          <w:color w:val="000000"/>
          <w:lang w:eastAsia="en-GB"/>
        </w:rPr>
        <w:t>). The Supplier shall comply with the provisions of this Schedule in order to assist the Buyer with its compliance with its obligations under that PPN.</w:t>
      </w:r>
    </w:p>
    <w:p w:rsidR="00F77E4A" w:rsidRDefault="00F77E4A">
      <w:pPr>
        <w:spacing w:after="0"/>
        <w:ind w:left="720" w:hanging="720"/>
        <w:jc w:val="both"/>
        <w:rPr>
          <w:rFonts w:eastAsia="Calibri"/>
          <w:color w:val="000000"/>
          <w:lang w:eastAsia="en-GB"/>
        </w:rPr>
      </w:pPr>
    </w:p>
    <w:p w:rsidR="00F77E4A" w:rsidRDefault="00416DEE">
      <w:pPr>
        <w:spacing w:after="0"/>
        <w:ind w:left="360" w:hanging="360"/>
        <w:jc w:val="both"/>
        <w:rPr>
          <w:rFonts w:eastAsia="Calibri"/>
          <w:color w:val="000000"/>
          <w:lang w:eastAsia="en-GB"/>
        </w:rPr>
      </w:pPr>
      <w:r>
        <w:rPr>
          <w:rFonts w:eastAsia="Calibri"/>
          <w:color w:val="000000"/>
          <w:lang w:eastAsia="en-GB"/>
        </w:rPr>
        <w:t>1.2</w:t>
      </w:r>
      <w:r>
        <w:rPr>
          <w:rFonts w:eastAsia="Calibri"/>
          <w:color w:val="000000"/>
          <w:lang w:eastAsia="en-GB"/>
        </w:rPr>
        <w:tab/>
        <w:t>Without prejudice to the Supplier's reporting requirements set out in the Framework Contract, within three (3) Months of the Start Date the Supplier shall submit to the Buyer for Approval (such Approval not to be unreasonably withheld or delayed) draft Transparency Reports consistent with the content requirements and format set out in the Annex of this Schedule.</w:t>
      </w:r>
    </w:p>
    <w:p w:rsidR="00F77E4A" w:rsidRDefault="00F77E4A">
      <w:pPr>
        <w:spacing w:after="0"/>
        <w:jc w:val="both"/>
        <w:rPr>
          <w:rFonts w:eastAsia="Calibri"/>
          <w:color w:val="000000"/>
          <w:lang w:eastAsia="en-GB"/>
        </w:rPr>
      </w:pPr>
    </w:p>
    <w:p w:rsidR="00F77E4A" w:rsidRDefault="00416DEE">
      <w:pPr>
        <w:spacing w:after="0"/>
        <w:ind w:left="360" w:hanging="360"/>
        <w:jc w:val="both"/>
        <w:rPr>
          <w:rFonts w:eastAsia="Calibri"/>
          <w:color w:val="000000"/>
          <w:lang w:eastAsia="en-GB"/>
        </w:rPr>
      </w:pPr>
      <w:r>
        <w:rPr>
          <w:rFonts w:eastAsia="Calibri"/>
          <w:color w:val="000000"/>
          <w:lang w:eastAsia="en-GB"/>
        </w:rPr>
        <w:t xml:space="preserve">1.3 </w:t>
      </w:r>
      <w:r>
        <w:rPr>
          <w:rFonts w:eastAsia="Calibri"/>
          <w:color w:val="000000"/>
          <w:lang w:eastAsia="en-GB"/>
        </w:rPr>
        <w:tab/>
        <w:t>If the Buyer rejects any proposed Transparency Report submitted by the Supplier, the Supplier shall submit a revised version of the relevant report for further Approval within five (5) days of receipt of any notice of rejection, taking account of any recommendations for revision and improvement to the report provided by the Buyer. If the Parties fail to agree on a draft Transparency Report the Buyer shall determine what should be included. Any other disagreement in connection with Transparency Reports shall be treated as a Dispute.</w:t>
      </w:r>
    </w:p>
    <w:p w:rsidR="00F77E4A" w:rsidRDefault="00F77E4A">
      <w:pPr>
        <w:spacing w:after="0"/>
        <w:ind w:left="720" w:hanging="720"/>
        <w:jc w:val="both"/>
        <w:rPr>
          <w:rFonts w:eastAsia="Calibri"/>
          <w:color w:val="000000"/>
          <w:lang w:eastAsia="en-GB"/>
        </w:rPr>
      </w:pPr>
    </w:p>
    <w:p w:rsidR="00F77E4A" w:rsidRDefault="00416DEE">
      <w:pPr>
        <w:spacing w:after="0"/>
        <w:ind w:left="360" w:hanging="360"/>
        <w:jc w:val="both"/>
        <w:rPr>
          <w:rFonts w:eastAsia="Calibri"/>
          <w:color w:val="000000"/>
          <w:lang w:eastAsia="en-GB"/>
        </w:rPr>
      </w:pPr>
      <w:r>
        <w:rPr>
          <w:rFonts w:eastAsia="Calibri"/>
          <w:color w:val="000000"/>
          <w:lang w:eastAsia="en-GB"/>
        </w:rPr>
        <w:t xml:space="preserve">1.4 </w:t>
      </w:r>
      <w:r>
        <w:rPr>
          <w:rFonts w:eastAsia="Calibri"/>
          <w:color w:val="000000"/>
          <w:lang w:eastAsia="en-GB"/>
        </w:rPr>
        <w:tab/>
        <w:t>The Supplier shall provide accurate and up-to-date versions of each Transparency Report to the Buyer at the frequency referred to in the Annex of this Schedule.</w:t>
      </w:r>
    </w:p>
    <w:p w:rsidR="00F77E4A" w:rsidRDefault="00F77E4A">
      <w:pPr>
        <w:spacing w:after="0"/>
        <w:rPr>
          <w:rFonts w:ascii="Calibri" w:eastAsia="Calibri" w:hAnsi="Calibri"/>
          <w:color w:val="000000"/>
          <w:lang w:eastAsia="en-GB"/>
        </w:rPr>
      </w:pPr>
    </w:p>
    <w:p w:rsidR="00F77E4A" w:rsidRDefault="00416DEE">
      <w:pPr>
        <w:pStyle w:val="TSOLScheduleAnnexName"/>
        <w:rPr>
          <w:rFonts w:eastAsia="Calibri"/>
          <w:color w:val="000000"/>
          <w:lang w:eastAsia="en-GB"/>
        </w:rPr>
      </w:pPr>
      <w:bookmarkStart w:id="2" w:name="_Toc461012441"/>
      <w:bookmarkStart w:id="3" w:name="_Toc461021246"/>
      <w:r>
        <w:t>ANNEX: LIST OF TRANSPARENCY REPORTS</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553"/>
        <w:gridCol w:w="2248"/>
        <w:gridCol w:w="2248"/>
      </w:tblGrid>
      <w:tr w:rsidR="00F77E4A">
        <w:trPr>
          <w:trHeight w:val="123"/>
        </w:trPr>
        <w:tc>
          <w:tcPr>
            <w:tcW w:w="2943"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rPr>
            </w:pPr>
            <w:r>
              <w:rPr>
                <w:rFonts w:ascii="Calibri" w:eastAsia="Calibri" w:hAnsi="Calibri"/>
                <w:b/>
                <w:bCs/>
                <w:color w:val="000000"/>
                <w:lang w:eastAsia="en-GB"/>
              </w:rPr>
              <w:t xml:space="preserve">Title </w:t>
            </w:r>
          </w:p>
        </w:tc>
        <w:tc>
          <w:tcPr>
            <w:tcW w:w="1553"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rPr>
            </w:pPr>
            <w:r>
              <w:rPr>
                <w:rFonts w:ascii="Calibri" w:eastAsia="Calibri" w:hAnsi="Calibri"/>
                <w:b/>
                <w:bCs/>
                <w:color w:val="000000"/>
                <w:lang w:eastAsia="en-GB"/>
              </w:rPr>
              <w:t xml:space="preserve">Content </w:t>
            </w:r>
          </w:p>
        </w:tc>
        <w:tc>
          <w:tcPr>
            <w:tcW w:w="2248"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lang w:eastAsia="en-GB"/>
              </w:rPr>
            </w:pPr>
            <w:r>
              <w:rPr>
                <w:rFonts w:ascii="Calibri" w:eastAsia="Calibri" w:hAnsi="Calibri"/>
                <w:b/>
                <w:bCs/>
                <w:color w:val="000000"/>
                <w:lang w:eastAsia="en-GB"/>
              </w:rPr>
              <w:t xml:space="preserve">Format </w:t>
            </w:r>
          </w:p>
        </w:tc>
        <w:tc>
          <w:tcPr>
            <w:tcW w:w="2248"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lang w:eastAsia="en-GB"/>
              </w:rPr>
            </w:pPr>
            <w:r>
              <w:rPr>
                <w:rFonts w:ascii="Calibri" w:eastAsia="Calibri" w:hAnsi="Calibri"/>
                <w:b/>
                <w:bCs/>
                <w:color w:val="000000"/>
                <w:lang w:eastAsia="en-GB"/>
              </w:rPr>
              <w:t xml:space="preserve">Frequency </w:t>
            </w:r>
          </w:p>
        </w:tc>
      </w:tr>
      <w:tr w:rsidR="00F77E4A">
        <w:trPr>
          <w:trHeight w:val="214"/>
        </w:trPr>
        <w:tc>
          <w:tcPr>
            <w:tcW w:w="2943" w:type="dxa"/>
            <w:tcBorders>
              <w:top w:val="single" w:sz="4" w:space="0" w:color="auto"/>
              <w:left w:val="single" w:sz="4" w:space="0" w:color="auto"/>
              <w:bottom w:val="single" w:sz="4" w:space="0" w:color="auto"/>
              <w:right w:val="single" w:sz="4" w:space="0" w:color="auto"/>
            </w:tcBorders>
          </w:tcPr>
          <w:p w:rsidR="00F77E4A" w:rsidRDefault="00416DEE">
            <w:pPr>
              <w:tabs>
                <w:tab w:val="left" w:pos="3380"/>
              </w:tabs>
              <w:spacing w:after="0"/>
              <w:rPr>
                <w:rFonts w:ascii="Calibri" w:eastAsia="Calibri" w:hAnsi="Calibri"/>
                <w:color w:val="000000"/>
                <w:highlight w:val="yellow"/>
                <w:lang w:eastAsia="en-GB"/>
              </w:rPr>
            </w:pPr>
            <w:r>
              <w:rPr>
                <w:rFonts w:ascii="Calibri" w:eastAsia="Calibri" w:hAnsi="Calibri"/>
                <w:color w:val="000000"/>
                <w:highlight w:val="yellow"/>
                <w:lang w:eastAsia="en-GB"/>
              </w:rPr>
              <w:t>[Performance]</w:t>
            </w:r>
            <w:r>
              <w:rPr>
                <w:rFonts w:ascii="Calibri" w:eastAsia="Calibri" w:hAnsi="Calibri"/>
                <w:color w:val="000000"/>
                <w:lang w:eastAsia="en-GB"/>
              </w:rPr>
              <w:tab/>
            </w:r>
          </w:p>
        </w:tc>
        <w:tc>
          <w:tcPr>
            <w:tcW w:w="1553"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highlight w:val="yellow"/>
                <w:lang w:eastAsia="en-GB"/>
              </w:rPr>
            </w:pPr>
          </w:p>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r>
      <w:tr w:rsidR="00F77E4A">
        <w:trPr>
          <w:trHeight w:val="155"/>
        </w:trPr>
        <w:tc>
          <w:tcPr>
            <w:tcW w:w="2943"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xml:space="preserve">[Call-Off  Contract Charges] </w:t>
            </w:r>
          </w:p>
        </w:tc>
        <w:tc>
          <w:tcPr>
            <w:tcW w:w="1553"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highlight w:val="yellow"/>
                <w:lang w:eastAsia="en-GB"/>
              </w:rPr>
            </w:pPr>
          </w:p>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r>
      <w:tr w:rsidR="00F77E4A">
        <w:trPr>
          <w:trHeight w:val="155"/>
        </w:trPr>
        <w:tc>
          <w:tcPr>
            <w:tcW w:w="2943"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xml:space="preserve">[Key Subcontractors] </w:t>
            </w:r>
          </w:p>
        </w:tc>
        <w:tc>
          <w:tcPr>
            <w:tcW w:w="1553"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highlight w:val="yellow"/>
                <w:lang w:eastAsia="en-GB"/>
              </w:rPr>
            </w:pPr>
          </w:p>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r>
      <w:tr w:rsidR="00F77E4A">
        <w:trPr>
          <w:trHeight w:val="155"/>
        </w:trPr>
        <w:tc>
          <w:tcPr>
            <w:tcW w:w="2943"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[Technical]</w:t>
            </w:r>
          </w:p>
        </w:tc>
        <w:tc>
          <w:tcPr>
            <w:tcW w:w="1553"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highlight w:val="yellow"/>
                <w:lang w:eastAsia="en-GB"/>
              </w:rPr>
            </w:pPr>
          </w:p>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r>
      <w:tr w:rsidR="00F77E4A">
        <w:trPr>
          <w:trHeight w:val="214"/>
        </w:trPr>
        <w:tc>
          <w:tcPr>
            <w:tcW w:w="2943" w:type="dxa"/>
            <w:tcBorders>
              <w:top w:val="single" w:sz="4" w:space="0" w:color="auto"/>
              <w:left w:val="single" w:sz="4" w:space="0" w:color="auto"/>
              <w:bottom w:val="single" w:sz="4" w:space="0" w:color="auto"/>
              <w:right w:val="single" w:sz="4" w:space="0" w:color="auto"/>
            </w:tcBorders>
          </w:tcPr>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[Performance management]</w:t>
            </w:r>
          </w:p>
        </w:tc>
        <w:tc>
          <w:tcPr>
            <w:tcW w:w="1553"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highlight w:val="yellow"/>
                <w:lang w:eastAsia="en-GB"/>
              </w:rPr>
            </w:pPr>
          </w:p>
          <w:p w:rsidR="00F77E4A" w:rsidRDefault="00416DEE">
            <w:pPr>
              <w:spacing w:after="0"/>
              <w:rPr>
                <w:rFonts w:ascii="Calibri" w:eastAsia="Calibri" w:hAnsi="Calibri"/>
                <w:color w:val="000000"/>
                <w:highlight w:val="yellow"/>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c>
          <w:tcPr>
            <w:tcW w:w="2248" w:type="dxa"/>
            <w:tcBorders>
              <w:top w:val="single" w:sz="4" w:space="0" w:color="auto"/>
              <w:left w:val="single" w:sz="4" w:space="0" w:color="auto"/>
              <w:bottom w:val="single" w:sz="4" w:space="0" w:color="auto"/>
              <w:right w:val="single" w:sz="4" w:space="0" w:color="auto"/>
            </w:tcBorders>
          </w:tcPr>
          <w:p w:rsidR="00F77E4A" w:rsidRDefault="00F77E4A">
            <w:pPr>
              <w:spacing w:after="0"/>
              <w:rPr>
                <w:rFonts w:ascii="Calibri" w:eastAsia="Calibri" w:hAnsi="Calibri"/>
                <w:lang w:eastAsia="en-GB"/>
              </w:rPr>
            </w:pPr>
          </w:p>
          <w:p w:rsidR="00F77E4A" w:rsidRDefault="00416DEE">
            <w:pPr>
              <w:spacing w:after="0"/>
              <w:rPr>
                <w:rFonts w:ascii="Calibri" w:eastAsia="Calibri" w:hAnsi="Calibri"/>
                <w:color w:val="000000"/>
                <w:lang w:eastAsia="en-GB"/>
              </w:rPr>
            </w:pPr>
            <w:r>
              <w:rPr>
                <w:rFonts w:ascii="Calibri" w:eastAsia="Calibri" w:hAnsi="Calibri"/>
                <w:color w:val="000000"/>
                <w:highlight w:val="yellow"/>
                <w:lang w:eastAsia="en-GB"/>
              </w:rPr>
              <w:t>[ ]</w:t>
            </w:r>
          </w:p>
        </w:tc>
      </w:tr>
    </w:tbl>
    <w:p w:rsidR="00F77E4A" w:rsidRDefault="00F77E4A">
      <w:pPr>
        <w:tabs>
          <w:tab w:val="left" w:pos="1251"/>
        </w:tabs>
      </w:pPr>
      <w:bookmarkStart w:id="4" w:name="bmCompoundReference"/>
      <w:bookmarkEnd w:id="4"/>
    </w:p>
    <w:sectPr w:rsidR="00F77E4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F1A" w:rsidRDefault="00C42F1A">
      <w:pPr>
        <w:spacing w:after="0" w:line="240" w:lineRule="auto"/>
      </w:pPr>
      <w:r>
        <w:separator/>
      </w:r>
    </w:p>
  </w:endnote>
  <w:endnote w:type="continuationSeparator" w:id="0">
    <w:p w:rsidR="00C42F1A" w:rsidRDefault="00C4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STZhongsong">
    <w:altName w:val="Arial Unicode MS"/>
    <w:charset w:val="00"/>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5E" w:rsidRDefault="00416DEE" w:rsidP="00FD035E">
    <w:pPr>
      <w:tabs>
        <w:tab w:val="center" w:pos="4513"/>
        <w:tab w:val="right" w:pos="9026"/>
      </w:tabs>
      <w:spacing w:after="0" w:line="240" w:lineRule="auto"/>
      <w:rPr>
        <w:rFonts w:ascii="Calibri" w:eastAsia="Calibri" w:hAnsi="Calibri" w:cs="Times New Roman"/>
      </w:rPr>
    </w:pPr>
    <w:r>
      <w:rPr>
        <w:rFonts w:ascii="Calibri" w:eastAsia="Calibri" w:hAnsi="Calibri" w:cs="Times New Roman"/>
      </w:rPr>
      <w:t>Ref: RM3830</w:t>
    </w:r>
    <w:r w:rsidR="00FD035E">
      <w:rPr>
        <w:rFonts w:ascii="Calibri" w:eastAsia="Calibri" w:hAnsi="Calibri" w:cs="Times New Roman"/>
      </w:rPr>
      <w:t xml:space="preserve"> </w:t>
    </w:r>
  </w:p>
  <w:p w:rsidR="00F77E4A" w:rsidRPr="00FD035E" w:rsidRDefault="00F77E4A" w:rsidP="00FD035E">
    <w:pPr>
      <w:tabs>
        <w:tab w:val="center" w:pos="4513"/>
        <w:tab w:val="right" w:pos="9026"/>
      </w:tabs>
      <w:spacing w:after="0" w:line="240" w:lineRule="auto"/>
      <w:rPr>
        <w:rFonts w:ascii="Calibri" w:eastAsia="Calibri" w:hAnsi="Calibri"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F1A" w:rsidRDefault="00C42F1A">
      <w:pPr>
        <w:spacing w:after="0" w:line="240" w:lineRule="auto"/>
      </w:pPr>
      <w:r>
        <w:separator/>
      </w:r>
    </w:p>
  </w:footnote>
  <w:footnote w:type="continuationSeparator" w:id="0">
    <w:p w:rsidR="00C42F1A" w:rsidRDefault="00C42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E4A" w:rsidRDefault="00416DEE">
    <w:pPr>
      <w:pStyle w:val="Header"/>
    </w:pPr>
    <w:r>
      <w:rPr>
        <w:b/>
      </w:rPr>
      <w:t>Call-Off Schedule 1 (Transparency Reports)</w:t>
    </w:r>
    <w:r>
      <w:rPr>
        <w:rStyle w:val="Emphasi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1C53A8">
      <w:rPr>
        <w:b/>
      </w:rPr>
      <w:t xml:space="preserve"> </w:t>
    </w:r>
    <w:r w:rsidR="000E719D">
      <w:rPr>
        <w:b/>
      </w:rPr>
      <w:t xml:space="preserve">Direct Award </w:t>
    </w:r>
    <w:r w:rsidR="001C53A8">
      <w:rPr>
        <w:b/>
      </w:rPr>
      <w:t>V 1.0</w:t>
    </w:r>
  </w:p>
  <w:p w:rsidR="00F77E4A" w:rsidRDefault="00416DEE">
    <w:pPr>
      <w:pStyle w:val="Header"/>
    </w:pPr>
    <w:r>
      <w:t>Crown Copyright</w:t>
    </w:r>
    <w:r>
      <w:rPr>
        <w:rFonts w:ascii="Arial" w:hAnsi="Arial"/>
        <w:color w:val="000000"/>
        <w:sz w:val="16"/>
        <w:szCs w:val="16"/>
        <w:lang w:eastAsia="en-GB"/>
      </w:rPr>
      <w:t xml:space="preserve"> </w:t>
    </w:r>
    <w:r>
      <w:rPr>
        <w:color w:val="000000"/>
        <w:szCs w:val="16"/>
        <w:lang w:eastAsia="en-GB"/>
      </w:rPr>
      <w:t>201</w:t>
    </w:r>
    <w:r w:rsidR="00A63F2B">
      <w:rPr>
        <w:color w:val="000000"/>
        <w:szCs w:val="16"/>
        <w:lang w:eastAsia="en-GB"/>
      </w:rPr>
      <w:t>8</w:t>
    </w:r>
  </w:p>
  <w:p w:rsidR="00F77E4A" w:rsidRDefault="00F77E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4A"/>
    <w:rsid w:val="00046AA3"/>
    <w:rsid w:val="000A7964"/>
    <w:rsid w:val="000E719D"/>
    <w:rsid w:val="001C53A8"/>
    <w:rsid w:val="002F5277"/>
    <w:rsid w:val="003E1D0E"/>
    <w:rsid w:val="003F61F3"/>
    <w:rsid w:val="00416DEE"/>
    <w:rsid w:val="00530969"/>
    <w:rsid w:val="0053194C"/>
    <w:rsid w:val="00793867"/>
    <w:rsid w:val="007C208C"/>
    <w:rsid w:val="007C776B"/>
    <w:rsid w:val="0093221A"/>
    <w:rsid w:val="00964033"/>
    <w:rsid w:val="00A63F2B"/>
    <w:rsid w:val="00A73ADB"/>
    <w:rsid w:val="00A91466"/>
    <w:rsid w:val="00AD15BD"/>
    <w:rsid w:val="00AF42DC"/>
    <w:rsid w:val="00BD587F"/>
    <w:rsid w:val="00C42F1A"/>
    <w:rsid w:val="00C936C6"/>
    <w:rsid w:val="00CD1A55"/>
    <w:rsid w:val="00F11E0C"/>
    <w:rsid w:val="00F207A2"/>
    <w:rsid w:val="00F5395D"/>
    <w:rsid w:val="00F77E4A"/>
    <w:rsid w:val="00FD03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B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GPSSchTitleandNumber">
    <w:name w:val="GPS Sch Title and Number"/>
    <w:basedOn w:val="Normal"/>
    <w:link w:val="GPSSchTitleandNumberChar"/>
    <w:qFormat/>
    <w:pPr>
      <w:keepNext/>
      <w:adjustRightInd w:val="0"/>
      <w:spacing w:after="240" w:line="240" w:lineRule="auto"/>
      <w:jc w:val="center"/>
      <w:outlineLvl w:val="0"/>
    </w:pPr>
    <w:rPr>
      <w:rFonts w:ascii="Arial Bold" w:eastAsia="STZhongsong" w:hAnsi="Arial Bold" w:cs="Times New Roman"/>
      <w:b/>
      <w:caps/>
      <w:lang w:eastAsia="zh-CN"/>
    </w:rPr>
  </w:style>
  <w:style w:type="character" w:customStyle="1" w:styleId="GPSSchTitleandNumberChar">
    <w:name w:val="GPS Sch Title and Number Char"/>
    <w:link w:val="GPSSchTitleandNumber"/>
    <w:rPr>
      <w:rFonts w:ascii="Arial Bold" w:eastAsia="STZhongsong" w:hAnsi="Arial Bold" w:cs="Times New Roman"/>
      <w:b/>
      <w:caps/>
      <w:lang w:eastAsia="zh-CN"/>
    </w:rPr>
  </w:style>
  <w:style w:type="paragraph" w:customStyle="1" w:styleId="TSOLScheduleAnnexName">
    <w:name w:val="TSOL Schedule Annex Name"/>
    <w:qFormat/>
    <w:pPr>
      <w:spacing w:after="240" w:line="240" w:lineRule="auto"/>
      <w:jc w:val="center"/>
      <w:outlineLvl w:val="1"/>
    </w:pPr>
    <w:rPr>
      <w:rFonts w:ascii="Calibri" w:eastAsia="STZhongsong" w:hAnsi="Calibri" w:cs="Arial"/>
      <w:b/>
      <w:caps/>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1">
    <w:name w:val="Normal1"/>
    <w:pPr>
      <w:widowControl w:val="0"/>
      <w:spacing w:after="80" w:line="240" w:lineRule="auto"/>
    </w:pPr>
    <w:rPr>
      <w:rFonts w:ascii="Calibri" w:eastAsia="Calibri" w:hAnsi="Calibri" w:cs="Calibri"/>
      <w:color w:val="000000"/>
    </w:rPr>
  </w:style>
  <w:style w:type="table" w:styleId="TableGrid">
    <w:name w:val="Table Grid"/>
    <w:basedOn w:val="TableNormal"/>
    <w:uiPriority w:val="59"/>
    <w:pPr>
      <w:spacing w:after="0" w:line="240" w:lineRule="auto"/>
    </w:pPr>
    <w:rPr>
      <w:rFonts w:ascii="Calibri" w:eastAsia="Calibri" w:hAnsi="Calibri"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GPSL2Numbered">
    <w:name w:val="GPS L2 Numbered"/>
    <w:basedOn w:val="Normal"/>
    <w:link w:val="GPSL2NumberedChar"/>
    <w:qFormat/>
    <w:pPr>
      <w:tabs>
        <w:tab w:val="left" w:pos="709"/>
        <w:tab w:val="left" w:pos="1134"/>
      </w:tabs>
      <w:adjustRightInd w:val="0"/>
      <w:spacing w:before="120" w:after="120" w:line="240" w:lineRule="auto"/>
      <w:jc w:val="both"/>
    </w:pPr>
    <w:rPr>
      <w:rFonts w:ascii="Calibri" w:eastAsia="Times New Roman" w:hAnsi="Calibri" w:cs="Arial"/>
      <w:lang w:eastAsia="zh-CN"/>
    </w:rPr>
  </w:style>
  <w:style w:type="character" w:customStyle="1" w:styleId="GPSL2NumberedChar">
    <w:name w:val="GPS L2 Numbered Char"/>
    <w:link w:val="GPSL2Numbered"/>
    <w:locked/>
    <w:rPr>
      <w:rFonts w:ascii="Calibri" w:eastAsia="Times New Roman" w:hAnsi="Calibri"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4648">
      <w:bodyDiv w:val="1"/>
      <w:marLeft w:val="0"/>
      <w:marRight w:val="0"/>
      <w:marTop w:val="0"/>
      <w:marBottom w:val="0"/>
      <w:divBdr>
        <w:top w:val="none" w:sz="0" w:space="0" w:color="auto"/>
        <w:left w:val="none" w:sz="0" w:space="0" w:color="auto"/>
        <w:bottom w:val="none" w:sz="0" w:space="0" w:color="auto"/>
        <w:right w:val="none" w:sz="0" w:space="0" w:color="auto"/>
      </w:divBdr>
    </w:div>
    <w:div w:id="1035421777">
      <w:bodyDiv w:val="1"/>
      <w:marLeft w:val="0"/>
      <w:marRight w:val="0"/>
      <w:marTop w:val="0"/>
      <w:marBottom w:val="0"/>
      <w:divBdr>
        <w:top w:val="none" w:sz="0" w:space="0" w:color="auto"/>
        <w:left w:val="none" w:sz="0" w:space="0" w:color="auto"/>
        <w:bottom w:val="none" w:sz="0" w:space="0" w:color="auto"/>
        <w:right w:val="none" w:sz="0" w:space="0" w:color="auto"/>
      </w:divBdr>
    </w:div>
    <w:div w:id="212503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government/publications/procurement-policy-note-0117-update-to-transparency-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2018-06-06T11:49:00Z</dcterms:created>
  <dcterms:modified xsi:type="dcterms:W3CDTF">2019-10-09T09:48:00Z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D1V5</vt:lpwstr>
  </property>
</Properties>
</file>