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3E81B" w14:textId="77777777" w:rsidR="00F211FB" w:rsidRDefault="00F211FB" w:rsidP="00F211FB">
      <w:pPr>
        <w:jc w:val="center"/>
        <w:rPr>
          <w:b/>
          <w:caps/>
          <w:szCs w:val="24"/>
        </w:rPr>
      </w:pPr>
    </w:p>
    <w:p w14:paraId="4CAC34FD" w14:textId="072C4AB9" w:rsidR="00F211FB" w:rsidRDefault="00AD24D9" w:rsidP="00F211FB">
      <w:pPr>
        <w:spacing w:before="240" w:line="276" w:lineRule="auto"/>
        <w:jc w:val="center"/>
        <w:rPr>
          <w:b/>
          <w:caps/>
          <w:szCs w:val="24"/>
        </w:rPr>
      </w:pPr>
      <w:r>
        <w:rPr>
          <w:b/>
          <w:caps/>
          <w:szCs w:val="24"/>
        </w:rPr>
        <w:t>BUYER</w:t>
      </w:r>
    </w:p>
    <w:p w14:paraId="0579BE4E" w14:textId="77777777" w:rsidR="00F211FB" w:rsidRDefault="00F211FB" w:rsidP="00F211FB">
      <w:pPr>
        <w:spacing w:before="240" w:line="276" w:lineRule="auto"/>
        <w:jc w:val="center"/>
        <w:rPr>
          <w:b/>
          <w:caps/>
          <w:szCs w:val="24"/>
        </w:rPr>
      </w:pPr>
      <w:r>
        <w:rPr>
          <w:b/>
          <w:caps/>
          <w:szCs w:val="24"/>
        </w:rPr>
        <w:t>AND</w:t>
      </w:r>
    </w:p>
    <w:p w14:paraId="2A867B7F" w14:textId="77777777" w:rsidR="00F211FB" w:rsidRDefault="00F211FB" w:rsidP="00F211FB">
      <w:pPr>
        <w:spacing w:before="240" w:line="276" w:lineRule="auto"/>
        <w:jc w:val="center"/>
        <w:rPr>
          <w:b/>
          <w:caps/>
          <w:szCs w:val="24"/>
        </w:rPr>
      </w:pPr>
      <w:r>
        <w:rPr>
          <w:b/>
          <w:caps/>
          <w:szCs w:val="24"/>
        </w:rPr>
        <w:t>SUPPLIER</w:t>
      </w:r>
    </w:p>
    <w:p w14:paraId="043C83B8" w14:textId="77777777" w:rsidR="00F211FB" w:rsidRDefault="00F211FB" w:rsidP="00F211FB">
      <w:pPr>
        <w:spacing w:before="240" w:line="276" w:lineRule="auto"/>
        <w:jc w:val="center"/>
        <w:rPr>
          <w:b/>
          <w:caps/>
          <w:szCs w:val="24"/>
        </w:rPr>
      </w:pPr>
      <w:r>
        <w:rPr>
          <w:b/>
          <w:caps/>
          <w:szCs w:val="24"/>
        </w:rPr>
        <w:t>FACILITIES MANAGEMENT MARKETPLACE CONTRACT</w:t>
      </w:r>
    </w:p>
    <w:p w14:paraId="2095CF63" w14:textId="77777777" w:rsidR="00F211FB" w:rsidRDefault="00F211FB" w:rsidP="00F211FB">
      <w:pPr>
        <w:spacing w:before="240" w:line="276" w:lineRule="auto"/>
        <w:jc w:val="center"/>
        <w:rPr>
          <w:b/>
          <w:caps/>
          <w:szCs w:val="24"/>
        </w:rPr>
      </w:pPr>
      <w:r>
        <w:rPr>
          <w:b/>
          <w:caps/>
          <w:szCs w:val="24"/>
        </w:rPr>
        <w:t>REF: RM3830</w:t>
      </w:r>
    </w:p>
    <w:p w14:paraId="2E41BC84" w14:textId="77777777" w:rsidR="00F211FB" w:rsidRDefault="00F211FB" w:rsidP="00F211FB">
      <w:pPr>
        <w:spacing w:after="0"/>
        <w:rPr>
          <w:b/>
          <w:sz w:val="20"/>
          <w:szCs w:val="24"/>
        </w:rPr>
      </w:pPr>
    </w:p>
    <w:p w14:paraId="2AE9EC98" w14:textId="77777777" w:rsidR="00F211FB" w:rsidRDefault="00F211FB" w:rsidP="00F211FB">
      <w:pPr>
        <w:spacing w:after="0"/>
        <w:rPr>
          <w:b/>
          <w:sz w:val="20"/>
          <w:szCs w:val="24"/>
        </w:rPr>
      </w:pPr>
    </w:p>
    <w:p w14:paraId="6B26587C" w14:textId="77777777" w:rsidR="00F211FB" w:rsidRDefault="00F211FB" w:rsidP="00F211FB">
      <w:pPr>
        <w:rPr>
          <w:sz w:val="20"/>
          <w:szCs w:val="24"/>
        </w:rPr>
      </w:pPr>
    </w:p>
    <w:p w14:paraId="391D8203" w14:textId="77777777" w:rsidR="00F211FB" w:rsidRDefault="00F211FB" w:rsidP="00F211FB">
      <w:pPr>
        <w:rPr>
          <w:sz w:val="20"/>
          <w:szCs w:val="24"/>
        </w:rPr>
      </w:pPr>
    </w:p>
    <w:p w14:paraId="3C117565" w14:textId="77777777" w:rsidR="00F211FB" w:rsidRDefault="00F211FB" w:rsidP="00F211FB">
      <w:pPr>
        <w:rPr>
          <w:sz w:val="20"/>
          <w:szCs w:val="24"/>
        </w:rPr>
      </w:pPr>
    </w:p>
    <w:p w14:paraId="756A6953" w14:textId="77777777" w:rsidR="00F211FB" w:rsidRDefault="00F211FB">
      <w:pPr>
        <w:overflowPunct/>
        <w:autoSpaceDE/>
        <w:autoSpaceDN/>
        <w:adjustRightInd/>
        <w:spacing w:after="200" w:line="276" w:lineRule="auto"/>
        <w:jc w:val="left"/>
        <w:textAlignment w:val="auto"/>
        <w:rPr>
          <w:rFonts w:asciiTheme="minorHAnsi" w:hAnsiTheme="minorHAnsi"/>
          <w:b/>
        </w:rPr>
      </w:pPr>
      <w:bookmarkStart w:id="0" w:name="_GoBack"/>
      <w:bookmarkEnd w:id="0"/>
      <w:r>
        <w:rPr>
          <w:rFonts w:asciiTheme="minorHAnsi" w:hAnsiTheme="minorHAnsi"/>
          <w:b/>
        </w:rPr>
        <w:br w:type="page"/>
      </w:r>
    </w:p>
    <w:p w14:paraId="54867A07" w14:textId="04D18866" w:rsidR="000E2C9B" w:rsidRDefault="002369E9">
      <w:pPr>
        <w:jc w:val="center"/>
        <w:rPr>
          <w:rFonts w:asciiTheme="minorHAnsi" w:hAnsiTheme="minorHAnsi"/>
          <w:b/>
        </w:rPr>
      </w:pPr>
      <w:r>
        <w:rPr>
          <w:rFonts w:asciiTheme="minorHAnsi" w:hAnsiTheme="minorHAnsi"/>
          <w:b/>
        </w:rPr>
        <w:lastRenderedPageBreak/>
        <w:t xml:space="preserve">CALL-OFF SCHEDULE 4A </w:t>
      </w:r>
    </w:p>
    <w:p w14:paraId="4604323D" w14:textId="77777777" w:rsidR="000E2C9B" w:rsidRDefault="002369E9">
      <w:pPr>
        <w:jc w:val="center"/>
        <w:rPr>
          <w:rFonts w:asciiTheme="minorHAnsi" w:hAnsiTheme="minorHAnsi"/>
          <w:b/>
        </w:rPr>
      </w:pPr>
      <w:r>
        <w:rPr>
          <w:rFonts w:asciiTheme="minorHAnsi" w:hAnsiTheme="minorHAnsi"/>
          <w:b/>
        </w:rPr>
        <w:t>BILLABLE WORKS AND PROJECTS</w:t>
      </w:r>
    </w:p>
    <w:p w14:paraId="2A0823E1" w14:textId="77777777" w:rsidR="000E2C9B" w:rsidRDefault="00962924">
      <w:pPr>
        <w:pStyle w:val="GPSL1CLAUSEHEADING"/>
        <w:tabs>
          <w:tab w:val="clear" w:pos="360"/>
          <w:tab w:val="num" w:pos="-360"/>
        </w:tabs>
        <w:ind w:left="0"/>
      </w:pPr>
      <w:r>
        <w:t>Introduction</w:t>
      </w:r>
    </w:p>
    <w:p w14:paraId="155540CA" w14:textId="77777777" w:rsidR="000E2C9B" w:rsidRDefault="002369E9" w:rsidP="00962924">
      <w:pPr>
        <w:pStyle w:val="GPSL2Numbered"/>
      </w:pPr>
      <w:r>
        <w:t>This schedule prescribes the procedure, calculations and rates to be used by the Buyer and Supplier when assessi</w:t>
      </w:r>
      <w:r w:rsidR="00962924">
        <w:t>ng the Charges for Work Orders.</w:t>
      </w:r>
    </w:p>
    <w:p w14:paraId="02A334E4" w14:textId="77777777" w:rsidR="000E2C9B" w:rsidRDefault="002369E9">
      <w:pPr>
        <w:pStyle w:val="GPSL1CLAUSEHEADING"/>
        <w:tabs>
          <w:tab w:val="clear" w:pos="360"/>
          <w:tab w:val="num" w:pos="-936"/>
        </w:tabs>
      </w:pPr>
      <w:r>
        <w:t>Billable Works</w:t>
      </w:r>
    </w:p>
    <w:p w14:paraId="4A30C873" w14:textId="77777777" w:rsidR="000E2C9B" w:rsidRDefault="002369E9">
      <w:pPr>
        <w:pStyle w:val="GPSL2Numbered"/>
        <w:tabs>
          <w:tab w:val="clear" w:pos="1080"/>
          <w:tab w:val="num" w:pos="-216"/>
        </w:tabs>
      </w:pPr>
      <w:r>
        <w:t>All Billable Works shall be authorised in accordance with the Billable Works and Approvals Process.  The Buyer may at its discretion require Billable Works to be:</w:t>
      </w:r>
    </w:p>
    <w:p w14:paraId="4C86B168" w14:textId="77777777" w:rsidR="000E2C9B" w:rsidRDefault="002369E9">
      <w:pPr>
        <w:pStyle w:val="GPSL3numberedclause"/>
        <w:tabs>
          <w:tab w:val="clear" w:pos="1656"/>
          <w:tab w:val="num" w:pos="360"/>
        </w:tabs>
      </w:pPr>
      <w:r>
        <w:t>managed and executed by the Supplier;</w:t>
      </w:r>
    </w:p>
    <w:p w14:paraId="6650B427" w14:textId="77777777" w:rsidR="000E2C9B" w:rsidRDefault="002369E9">
      <w:pPr>
        <w:pStyle w:val="GPSL3numberedclause"/>
        <w:tabs>
          <w:tab w:val="clear" w:pos="1656"/>
          <w:tab w:val="num" w:pos="360"/>
        </w:tabs>
      </w:pPr>
      <w:r>
        <w:t xml:space="preserve">managed by a third party nominated by the Buyer and executed by the Supplier; </w:t>
      </w:r>
    </w:p>
    <w:p w14:paraId="411C200C" w14:textId="77777777" w:rsidR="000E2C9B" w:rsidRDefault="002369E9">
      <w:pPr>
        <w:pStyle w:val="GPSL3numberedclause"/>
      </w:pPr>
      <w:proofErr w:type="gramStart"/>
      <w:r>
        <w:t>managed</w:t>
      </w:r>
      <w:proofErr w:type="gramEnd"/>
      <w:r>
        <w:t xml:space="preserve"> by the Supplier and executed by any third party nominated by the Buyer.</w:t>
      </w:r>
    </w:p>
    <w:p w14:paraId="6F064B11" w14:textId="77777777" w:rsidR="000E2C9B" w:rsidRDefault="002369E9">
      <w:pPr>
        <w:pStyle w:val="GPSL2Numbered"/>
        <w:tabs>
          <w:tab w:val="clear" w:pos="1080"/>
          <w:tab w:val="num" w:pos="-216"/>
        </w:tabs>
      </w:pPr>
      <w:r>
        <w:t>Any estimate/quotation for Billable Works shall breakdown the costs in the categories below:</w:t>
      </w:r>
    </w:p>
    <w:p w14:paraId="5F7ABBCB" w14:textId="77777777" w:rsidR="000E2C9B" w:rsidRDefault="002369E9">
      <w:pPr>
        <w:pStyle w:val="GPSL3numberedclause"/>
        <w:tabs>
          <w:tab w:val="clear" w:pos="1656"/>
          <w:tab w:val="num" w:pos="360"/>
        </w:tabs>
      </w:pPr>
      <w:r>
        <w:t>labour;</w:t>
      </w:r>
    </w:p>
    <w:p w14:paraId="028334E4" w14:textId="77777777" w:rsidR="000E2C9B" w:rsidRDefault="002369E9">
      <w:pPr>
        <w:pStyle w:val="GPSL3numberedclause"/>
        <w:tabs>
          <w:tab w:val="clear" w:pos="1656"/>
          <w:tab w:val="num" w:pos="360"/>
        </w:tabs>
      </w:pPr>
      <w:r>
        <w:t>parts;</w:t>
      </w:r>
    </w:p>
    <w:p w14:paraId="7E90AFA5" w14:textId="77777777" w:rsidR="000E2C9B" w:rsidRDefault="002369E9">
      <w:pPr>
        <w:pStyle w:val="GPSL3numberedclause"/>
        <w:tabs>
          <w:tab w:val="clear" w:pos="1656"/>
          <w:tab w:val="num" w:pos="360"/>
        </w:tabs>
      </w:pPr>
      <w:r>
        <w:t xml:space="preserve">replacement Assets; </w:t>
      </w:r>
    </w:p>
    <w:p w14:paraId="0FAF3C37" w14:textId="77777777" w:rsidR="000E2C9B" w:rsidRDefault="002369E9">
      <w:pPr>
        <w:pStyle w:val="GPSL3numberedclause"/>
        <w:tabs>
          <w:tab w:val="clear" w:pos="1656"/>
          <w:tab w:val="num" w:pos="360"/>
        </w:tabs>
      </w:pPr>
      <w:r>
        <w:t xml:space="preserve">materials; </w:t>
      </w:r>
    </w:p>
    <w:p w14:paraId="50A5CA58" w14:textId="77777777" w:rsidR="000E2C9B" w:rsidRDefault="002369E9">
      <w:pPr>
        <w:pStyle w:val="GPSL3numberedclause"/>
        <w:tabs>
          <w:tab w:val="clear" w:pos="1656"/>
          <w:tab w:val="num" w:pos="360"/>
        </w:tabs>
      </w:pPr>
      <w:r>
        <w:t xml:space="preserve">profit; </w:t>
      </w:r>
    </w:p>
    <w:p w14:paraId="03506CF0" w14:textId="77777777" w:rsidR="000E2C9B" w:rsidRDefault="002369E9">
      <w:pPr>
        <w:pStyle w:val="GPSL3numberedclause"/>
        <w:tabs>
          <w:tab w:val="clear" w:pos="1656"/>
          <w:tab w:val="num" w:pos="360"/>
        </w:tabs>
      </w:pPr>
      <w:r>
        <w:t>relevant Billable Works Management Uplift (which includes Overhead); and</w:t>
      </w:r>
    </w:p>
    <w:p w14:paraId="3F6FD3EE" w14:textId="77777777" w:rsidR="000E2C9B" w:rsidRDefault="002369E9">
      <w:pPr>
        <w:pStyle w:val="GPSL3numberedclause"/>
        <w:tabs>
          <w:tab w:val="clear" w:pos="1656"/>
          <w:tab w:val="num" w:pos="360"/>
        </w:tabs>
      </w:pPr>
      <w:proofErr w:type="gramStart"/>
      <w:r>
        <w:t>such</w:t>
      </w:r>
      <w:proofErr w:type="gramEnd"/>
      <w:r>
        <w:t xml:space="preserve"> other applicable cost categories as the Buyer may notify to the Supplier from time to time. </w:t>
      </w:r>
    </w:p>
    <w:p w14:paraId="402239C4" w14:textId="77777777" w:rsidR="000E2C9B" w:rsidRDefault="002369E9">
      <w:pPr>
        <w:pStyle w:val="GPSL1CLAUSEHEADING"/>
        <w:tabs>
          <w:tab w:val="clear" w:pos="360"/>
          <w:tab w:val="num" w:pos="-936"/>
        </w:tabs>
      </w:pPr>
      <w:r>
        <w:t>Quotation and Tenders for Billable Works</w:t>
      </w:r>
    </w:p>
    <w:p w14:paraId="7C0ED8AF" w14:textId="77777777" w:rsidR="000E2C9B" w:rsidRDefault="002369E9">
      <w:pPr>
        <w:pStyle w:val="GPSL2Numbered"/>
        <w:tabs>
          <w:tab w:val="clear" w:pos="1080"/>
          <w:tab w:val="num" w:pos="-216"/>
        </w:tabs>
      </w:pPr>
      <w:bookmarkStart w:id="1" w:name="_Ref499731058"/>
      <w:r>
        <w:t>Where the Buyer gives instructions to the Supplier to manage and/or execute Billable Works according to applicable value thresholds:</w:t>
      </w:r>
      <w:bookmarkEnd w:id="1"/>
    </w:p>
    <w:p w14:paraId="609BB286" w14:textId="77777777" w:rsidR="000E2C9B" w:rsidRDefault="002369E9" w:rsidP="00386224">
      <w:pPr>
        <w:pStyle w:val="GPSL3numberedclause"/>
      </w:pPr>
      <w:r>
        <w:t xml:space="preserve">Tier One Billable Works shall be managed and executed by the Supplier. Where the Billable Works are to be delivered directly by the Supplier, the Supplier shall provide an estimate of costs in accordance with the rates set out in Call </w:t>
      </w:r>
      <w:proofErr w:type="gramStart"/>
      <w:r>
        <w:t>Off</w:t>
      </w:r>
      <w:proofErr w:type="gramEnd"/>
      <w:r>
        <w:t xml:space="preserve"> S</w:t>
      </w:r>
      <w:r w:rsidR="00386224">
        <w:t>chedule 5 – (Call-Off Pricing) or</w:t>
      </w:r>
      <w:r w:rsidR="00386224" w:rsidRPr="00386224">
        <w:t xml:space="preserve"> P.S.A. Schedule of Rates </w:t>
      </w:r>
      <w:r w:rsidR="00386224">
        <w:t xml:space="preserve">if requested by the Buyer. </w:t>
      </w:r>
      <w:r>
        <w:t xml:space="preserve">Where Works are to be undertaken by others, the Supplier shall provide at least one written quotation. The Supplier shall not commence any Tier One Billable Works until approval has been granted by the Buyer to proceed to completion. </w:t>
      </w:r>
    </w:p>
    <w:p w14:paraId="501CAFBF" w14:textId="77777777" w:rsidR="000E2C9B" w:rsidRDefault="002369E9">
      <w:pPr>
        <w:pStyle w:val="GPSL3numberedclause"/>
        <w:tabs>
          <w:tab w:val="clear" w:pos="1656"/>
          <w:tab w:val="num" w:pos="360"/>
        </w:tabs>
      </w:pPr>
      <w:r>
        <w:t xml:space="preserve">Tier Two Billable Works shall be managed and/or executed by the Supplier. Where instructed by the Buyer, the Supplier shall obtain at least three written quotations. The Supplier shall not commence any Tier Two Billable Works until approval has been granted by the Buyer to proceed to completion. </w:t>
      </w:r>
    </w:p>
    <w:p w14:paraId="778F0FE5" w14:textId="77777777" w:rsidR="000E2C9B" w:rsidRDefault="002369E9">
      <w:pPr>
        <w:pStyle w:val="GPSL3numberedclause"/>
        <w:tabs>
          <w:tab w:val="clear" w:pos="1656"/>
          <w:tab w:val="num" w:pos="360"/>
        </w:tabs>
      </w:pPr>
      <w:r>
        <w:t xml:space="preserve">Tier Three Billable Works shall be managed and/or executed by the Supplier.  Where instructed by the Buyer, the Supplier shall obtain at least three formal </w:t>
      </w:r>
      <w:r>
        <w:lastRenderedPageBreak/>
        <w:t xml:space="preserve">tenders under the defined procurement process as agreed between the Supplier and the Buyer from time to time. The Supplier shall not commence any Tier Three Billable Works until approval has been granted by the Buyer to proceed to completion. </w:t>
      </w:r>
    </w:p>
    <w:p w14:paraId="4661B868" w14:textId="77777777" w:rsidR="000E2C9B" w:rsidRDefault="002369E9">
      <w:pPr>
        <w:pStyle w:val="GPSL3numberedclause"/>
        <w:tabs>
          <w:tab w:val="clear" w:pos="1656"/>
          <w:tab w:val="num" w:pos="360"/>
        </w:tabs>
      </w:pPr>
      <w:r>
        <w:t xml:space="preserve">Tier Four Billable Works shall be managed and/or executed by the Supplier. Where instructed by the Buyer, the Supplier shall obtain at least five formal tenders under the Supplier’s defined procurement process. The Supplier shall not commence any Tier Four Billable Works until approval has been granted by the Buyer to proceed to completion. </w:t>
      </w:r>
    </w:p>
    <w:p w14:paraId="2DEC3D22" w14:textId="77777777" w:rsidR="000E2C9B" w:rsidRDefault="002369E9">
      <w:pPr>
        <w:pStyle w:val="GPSL2Numbered"/>
        <w:tabs>
          <w:tab w:val="clear" w:pos="1080"/>
          <w:tab w:val="num" w:pos="-216"/>
        </w:tabs>
      </w:pPr>
      <w:r>
        <w:t>The Supplier shall seek prior written approval from the Buyer prior to proceeding to provide any Billable Works with the exception of:</w:t>
      </w:r>
    </w:p>
    <w:p w14:paraId="5AF2028A" w14:textId="77777777" w:rsidR="000E2C9B" w:rsidRDefault="002369E9">
      <w:pPr>
        <w:pStyle w:val="GPSL3numberedclause"/>
        <w:tabs>
          <w:tab w:val="clear" w:pos="1656"/>
          <w:tab w:val="num" w:pos="360"/>
        </w:tabs>
      </w:pPr>
      <w:r>
        <w:t>Billable Works up to the value specified in the Order Form; or</w:t>
      </w:r>
    </w:p>
    <w:p w14:paraId="11584306" w14:textId="77777777" w:rsidR="000E2C9B" w:rsidRDefault="002369E9">
      <w:pPr>
        <w:pStyle w:val="GPSL3numberedclause"/>
        <w:tabs>
          <w:tab w:val="clear" w:pos="1656"/>
          <w:tab w:val="num" w:pos="360"/>
        </w:tabs>
      </w:pPr>
      <w:r>
        <w:t>Billable Works required as a consequence of a Business Critical Event,</w:t>
      </w:r>
    </w:p>
    <w:p w14:paraId="020FFD53" w14:textId="77777777" w:rsidR="000E2C9B" w:rsidRDefault="002369E9" w:rsidP="00000852">
      <w:pPr>
        <w:pStyle w:val="GPSL2Numbered"/>
        <w:numPr>
          <w:ilvl w:val="0"/>
          <w:numId w:val="0"/>
        </w:numPr>
        <w:ind w:left="993"/>
        <w:rPr>
          <w:rFonts w:asciiTheme="minorHAnsi" w:hAnsiTheme="minorHAnsi"/>
        </w:rPr>
      </w:pPr>
      <w:r>
        <w:rPr>
          <w:rFonts w:asciiTheme="minorHAnsi" w:hAnsiTheme="minorHAnsi"/>
        </w:rPr>
        <w:t xml:space="preserve">and the Buyer shall not unreasonably withhold approval to the costs associated with such Billable Works; however the Supplier shall retrospectively commence the relevant approval process set out in paragraph </w:t>
      </w:r>
      <w:r>
        <w:rPr>
          <w:rFonts w:asciiTheme="minorHAnsi" w:hAnsiTheme="minorHAnsi"/>
        </w:rPr>
        <w:fldChar w:fldCharType="begin"/>
      </w:r>
      <w:r>
        <w:rPr>
          <w:rFonts w:asciiTheme="minorHAnsi" w:hAnsiTheme="minorHAnsi"/>
        </w:rPr>
        <w:instrText xml:space="preserve"> REF _Ref499731058 \r \h </w:instrText>
      </w:r>
      <w:r>
        <w:rPr>
          <w:rFonts w:asciiTheme="minorHAnsi" w:hAnsiTheme="minorHAnsi"/>
        </w:rPr>
      </w:r>
      <w:r>
        <w:rPr>
          <w:rFonts w:asciiTheme="minorHAnsi" w:hAnsiTheme="minorHAnsi"/>
        </w:rPr>
        <w:fldChar w:fldCharType="separate"/>
      </w:r>
      <w:r>
        <w:rPr>
          <w:rFonts w:asciiTheme="minorHAnsi" w:hAnsiTheme="minorHAnsi"/>
        </w:rPr>
        <w:t>3.1</w:t>
      </w:r>
      <w:r>
        <w:rPr>
          <w:rFonts w:asciiTheme="minorHAnsi" w:hAnsiTheme="minorHAnsi"/>
        </w:rPr>
        <w:fldChar w:fldCharType="end"/>
      </w:r>
      <w:r>
        <w:rPr>
          <w:rFonts w:asciiTheme="minorHAnsi" w:hAnsiTheme="minorHAnsi"/>
        </w:rPr>
        <w:t xml:space="preserve"> by the next Working Day and complete such process as soon as reasonably practicable.</w:t>
      </w:r>
    </w:p>
    <w:p w14:paraId="3A75F8D9" w14:textId="77777777" w:rsidR="000E2C9B" w:rsidRDefault="002369E9">
      <w:pPr>
        <w:pStyle w:val="GPSL2Numbered"/>
        <w:tabs>
          <w:tab w:val="clear" w:pos="1080"/>
          <w:tab w:val="num" w:pos="-216"/>
        </w:tabs>
      </w:pPr>
      <w:r>
        <w:t xml:space="preserve">Where Billable Works arise as a result of any: </w:t>
      </w:r>
    </w:p>
    <w:p w14:paraId="5AD8704E" w14:textId="77777777" w:rsidR="000E2C9B" w:rsidRDefault="002369E9">
      <w:pPr>
        <w:pStyle w:val="GPSL3numberedclause"/>
        <w:tabs>
          <w:tab w:val="clear" w:pos="1656"/>
          <w:tab w:val="num" w:pos="360"/>
        </w:tabs>
      </w:pPr>
      <w:r>
        <w:t>Reactive Maintenance Works where the costs exceed the Inclusive Repair Threshold;</w:t>
      </w:r>
    </w:p>
    <w:p w14:paraId="3C593827" w14:textId="77777777" w:rsidR="000E2C9B" w:rsidRDefault="002369E9">
      <w:pPr>
        <w:pStyle w:val="GPSL3numberedclause"/>
        <w:tabs>
          <w:tab w:val="clear" w:pos="1656"/>
          <w:tab w:val="num" w:pos="360"/>
        </w:tabs>
      </w:pPr>
      <w:r>
        <w:t xml:space="preserve">Works that are Small Works; or </w:t>
      </w:r>
    </w:p>
    <w:p w14:paraId="45CC0583" w14:textId="77777777" w:rsidR="000E2C9B" w:rsidRDefault="002369E9">
      <w:pPr>
        <w:pStyle w:val="GPSL3numberedclause"/>
        <w:tabs>
          <w:tab w:val="clear" w:pos="1656"/>
          <w:tab w:val="num" w:pos="360"/>
        </w:tabs>
      </w:pPr>
      <w:r>
        <w:t xml:space="preserve">Works arising from Planned Maintenance </w:t>
      </w:r>
    </w:p>
    <w:p w14:paraId="3EFC4829" w14:textId="77777777" w:rsidR="000E2C9B" w:rsidRDefault="002369E9">
      <w:pPr>
        <w:pStyle w:val="GPSL2Numbered"/>
        <w:numPr>
          <w:ilvl w:val="0"/>
          <w:numId w:val="0"/>
        </w:numPr>
        <w:ind w:left="864"/>
        <w:rPr>
          <w:rFonts w:asciiTheme="minorHAnsi" w:hAnsiTheme="minorHAnsi"/>
        </w:rPr>
      </w:pPr>
      <w:proofErr w:type="gramStart"/>
      <w:r>
        <w:rPr>
          <w:rFonts w:asciiTheme="minorHAnsi" w:hAnsiTheme="minorHAnsi"/>
        </w:rPr>
        <w:t>the</w:t>
      </w:r>
      <w:proofErr w:type="gramEnd"/>
      <w:r>
        <w:rPr>
          <w:rFonts w:asciiTheme="minorHAnsi" w:hAnsiTheme="minorHAnsi"/>
        </w:rPr>
        <w:t xml:space="preserve"> Billable Works shall not proceed until an instruction is received from the Buyer in writing or via the CAFM System.  </w:t>
      </w:r>
    </w:p>
    <w:p w14:paraId="690D0978" w14:textId="7B942C2F" w:rsidR="00192EB4" w:rsidRDefault="00192EB4">
      <w:pPr>
        <w:pStyle w:val="GPSL2Numbered"/>
        <w:tabs>
          <w:tab w:val="clear" w:pos="1080"/>
          <w:tab w:val="num" w:pos="-216"/>
        </w:tabs>
      </w:pPr>
      <w:r>
        <w:t>Quotations for Billable Works may include the Billable</w:t>
      </w:r>
      <w:r w:rsidR="004039F9">
        <w:t xml:space="preserve"> Works Management Uplift</w:t>
      </w:r>
      <w:r>
        <w:t xml:space="preserve"> (if applicable) as per the rates submitted in the Pricing Matrix.</w:t>
      </w:r>
    </w:p>
    <w:p w14:paraId="6F691100" w14:textId="77777777" w:rsidR="000E2C9B" w:rsidRDefault="002369E9">
      <w:pPr>
        <w:pStyle w:val="GPSL2Numbered"/>
        <w:tabs>
          <w:tab w:val="clear" w:pos="1080"/>
          <w:tab w:val="num" w:pos="-216"/>
        </w:tabs>
      </w:pPr>
      <w:r>
        <w:t xml:space="preserve">If Billable Works are aborted by the Buyer prior to completion, any claim for costs up to the point of it being aborted shall be limited to costs actually, reasonably and properly incurred and they shall be evidenced as part of any quote for the Buyer to consider. </w:t>
      </w:r>
    </w:p>
    <w:p w14:paraId="2CBE317A" w14:textId="77777777" w:rsidR="000E2C9B" w:rsidRDefault="002369E9">
      <w:pPr>
        <w:pStyle w:val="GPSL1CLAUSEHEADING"/>
      </w:pPr>
      <w:r>
        <w:t>Projects</w:t>
      </w:r>
    </w:p>
    <w:p w14:paraId="177CCE32" w14:textId="77777777" w:rsidR="000E2C9B" w:rsidRDefault="002369E9">
      <w:pPr>
        <w:pStyle w:val="GPSL2Numbered"/>
        <w:tabs>
          <w:tab w:val="clear" w:pos="1080"/>
          <w:tab w:val="num" w:pos="-216"/>
        </w:tabs>
      </w:pPr>
      <w:bookmarkStart w:id="2" w:name="_Ref499533452"/>
      <w:r>
        <w:t>If the Buyer decides at its sole discretion that the scope of any Billable Works are such that they require a defined management approach such that the RIBA “Plan of Work” management principles shall apply then the Billable Works will be deemed to be a Project.</w:t>
      </w:r>
      <w:bookmarkEnd w:id="2"/>
      <w:r>
        <w:t xml:space="preserve"> </w:t>
      </w:r>
    </w:p>
    <w:p w14:paraId="0EC32105" w14:textId="12E6EED8" w:rsidR="000F1466" w:rsidRDefault="000F1466">
      <w:pPr>
        <w:pStyle w:val="GPSL2Numbered"/>
        <w:tabs>
          <w:tab w:val="clear" w:pos="1080"/>
          <w:tab w:val="num" w:pos="-216"/>
        </w:tabs>
      </w:pPr>
      <w:r>
        <w:t xml:space="preserve">If it is deemed as a Project, the Project Stage fee will apply as stated in the Pricing Matrix. </w:t>
      </w:r>
    </w:p>
    <w:p w14:paraId="29FF0279" w14:textId="37475EE4" w:rsidR="000E2C9B" w:rsidRDefault="002369E9">
      <w:pPr>
        <w:pStyle w:val="GPSL2Numbered"/>
        <w:tabs>
          <w:tab w:val="clear" w:pos="1080"/>
          <w:tab w:val="num" w:pos="-216"/>
        </w:tabs>
      </w:pPr>
      <w:r>
        <w:t xml:space="preserve">It is agreed that the </w:t>
      </w:r>
      <w:r w:rsidR="000F1466">
        <w:t xml:space="preserve">Project Stage fee </w:t>
      </w:r>
      <w:r>
        <w:t>shall always be applied to the value of a Project prior to any profit.</w:t>
      </w:r>
    </w:p>
    <w:p w14:paraId="370E992D" w14:textId="274C779B" w:rsidR="000E2C9B" w:rsidRDefault="002369E9">
      <w:pPr>
        <w:pStyle w:val="GPSL2Numbered"/>
        <w:tabs>
          <w:tab w:val="clear" w:pos="1080"/>
          <w:tab w:val="num" w:pos="-216"/>
        </w:tabs>
      </w:pPr>
      <w:r>
        <w:t xml:space="preserve">If a Project is aborted by the Buyer prior to completion, if applicable, the relevant </w:t>
      </w:r>
      <w:r w:rsidR="00045A14">
        <w:t xml:space="preserve">Project Stage Uplift </w:t>
      </w:r>
      <w:r>
        <w:t>will be applied up to the point at which it is aborted based on the agreed estimated cost of the Project.</w:t>
      </w:r>
    </w:p>
    <w:p w14:paraId="4617162F" w14:textId="77777777" w:rsidR="000E2C9B" w:rsidRDefault="002369E9">
      <w:pPr>
        <w:pStyle w:val="GPSL2Numbered"/>
        <w:tabs>
          <w:tab w:val="clear" w:pos="1080"/>
          <w:tab w:val="num" w:pos="-216"/>
        </w:tabs>
      </w:pPr>
      <w:r>
        <w:lastRenderedPageBreak/>
        <w:t xml:space="preserve">The Supplier shall provide evidence of the resource allocation required to provide any Project at the time of quotation or tender and such associated costs must be agreed as acceptable by the Buyer prior to any Works which are part of a Project commencing. </w:t>
      </w:r>
    </w:p>
    <w:p w14:paraId="7EBAE3CF" w14:textId="77777777" w:rsidR="000E2C9B" w:rsidRDefault="002369E9">
      <w:pPr>
        <w:pStyle w:val="GPSL1CLAUSEHEADING"/>
      </w:pPr>
      <w:r>
        <w:t xml:space="preserve">Inclusive Repair Threshold </w:t>
      </w:r>
    </w:p>
    <w:p w14:paraId="62C27B20" w14:textId="77777777" w:rsidR="000E2C9B" w:rsidRDefault="002369E9">
      <w:pPr>
        <w:pStyle w:val="GPSL2Numbered"/>
        <w:tabs>
          <w:tab w:val="clear" w:pos="1080"/>
          <w:tab w:val="num" w:pos="-216"/>
        </w:tabs>
      </w:pPr>
      <w:r>
        <w:t xml:space="preserve">The Supplier shall note that with the exception of emergencies or Business Critical Events, no activity with a value in excess of the agreed Inclusive Repair Threshold shall be undertaken without a Work Order.  </w:t>
      </w:r>
    </w:p>
    <w:p w14:paraId="59FA6F70" w14:textId="77777777" w:rsidR="000E2C9B" w:rsidRDefault="002369E9">
      <w:pPr>
        <w:pStyle w:val="GPSL2Numbered"/>
        <w:tabs>
          <w:tab w:val="clear" w:pos="1080"/>
          <w:tab w:val="num" w:pos="-216"/>
        </w:tabs>
      </w:pPr>
      <w:r>
        <w:t>Where the costs of Reactive Maintenance Works exceed the Inclusive Repair Threshold, only the cost above this value shall be billed to the Buyer through the approval process as detailed in the Billable Works and Approvals Process.</w:t>
      </w:r>
    </w:p>
    <w:p w14:paraId="7791FC58" w14:textId="77777777" w:rsidR="000E2C9B" w:rsidRDefault="002369E9">
      <w:pPr>
        <w:pStyle w:val="GPSL2Numbered"/>
        <w:tabs>
          <w:tab w:val="clear" w:pos="1080"/>
          <w:tab w:val="num" w:pos="-216"/>
        </w:tabs>
      </w:pPr>
      <w:r>
        <w:t>The Supplier shall supply and install all parts associated with Reactive Maintenance Works at its own cost. The Supplier shall note that, for the avoidance of doubt, this requirement includes the replacement of entire Assets as well as component part of Assets where replacement is deemed appropriate.</w:t>
      </w:r>
    </w:p>
    <w:p w14:paraId="368AA1F2" w14:textId="77777777" w:rsidR="000E2C9B" w:rsidRDefault="002369E9">
      <w:pPr>
        <w:pStyle w:val="GPSL2Numbered"/>
        <w:tabs>
          <w:tab w:val="clear" w:pos="1080"/>
          <w:tab w:val="num" w:pos="-216"/>
        </w:tabs>
      </w:pPr>
      <w:r>
        <w:t xml:space="preserve">The Supplier shall maximise the benefits of its own buying power by being granted access to and exploring other CCS frameworks and benchmarking against these before looking to their own supply agreements to offer the most advantageous commercial position to the Buyer to ensure value for money. Any negotiated discounts applied against current trade price levels shall be passed to the Buyer in full. Where appropriate the Supplier shall utilise the Buyer’s parts agreements, where any such agreements exist. </w:t>
      </w:r>
    </w:p>
    <w:p w14:paraId="7F73A2FE" w14:textId="77777777" w:rsidR="000E2C9B" w:rsidRDefault="002369E9">
      <w:pPr>
        <w:pStyle w:val="GPSL2Numbered"/>
        <w:tabs>
          <w:tab w:val="clear" w:pos="1080"/>
          <w:tab w:val="num" w:pos="-216"/>
        </w:tabs>
      </w:pPr>
      <w:r>
        <w:t>The Supplier shall source parts at the most cost effective terms having regard to quality and delivery time requirements. The Supplier and the Buyer shall agree in advance the use of refurbished parts where they are deemed to be cost beneficial without any loss of service or as required in order to achieve required return to full operational service.</w:t>
      </w:r>
    </w:p>
    <w:p w14:paraId="1240E190" w14:textId="77777777" w:rsidR="000E2C9B" w:rsidRDefault="002369E9" w:rsidP="00000852">
      <w:pPr>
        <w:pStyle w:val="GPSL3numberedclause"/>
        <w:rPr>
          <w:rFonts w:asciiTheme="minorHAnsi" w:hAnsiTheme="minorHAnsi"/>
        </w:rPr>
      </w:pPr>
      <w:r>
        <w:t xml:space="preserve">In the event of emergencies or Business Critical Events, the Supplier may proceed with remedial action without prior approval from the Buyer. The Supplier shall seek formal approval from the Buyer by email and/or telephone as soon as is operationally possible, and shall keep the Buyer advised at all times on the technical and financial status of the task. The Buyer shall not unreasonably withhold approval of costs arising from emergencies and Business Critical Events; however the Supplier shall retrospectively commence  </w:t>
      </w:r>
      <w:r>
        <w:rPr>
          <w:rFonts w:asciiTheme="minorHAnsi" w:hAnsiTheme="minorHAnsi"/>
        </w:rPr>
        <w:t xml:space="preserve">the relevant approval process set out in paragraph </w:t>
      </w:r>
      <w:r>
        <w:rPr>
          <w:rFonts w:asciiTheme="minorHAnsi" w:hAnsiTheme="minorHAnsi"/>
        </w:rPr>
        <w:fldChar w:fldCharType="begin"/>
      </w:r>
      <w:r>
        <w:rPr>
          <w:rFonts w:asciiTheme="minorHAnsi" w:hAnsiTheme="minorHAnsi"/>
        </w:rPr>
        <w:instrText xml:space="preserve"> REF _Ref499731058 \r \h </w:instrText>
      </w:r>
      <w:r>
        <w:rPr>
          <w:rFonts w:asciiTheme="minorHAnsi" w:hAnsiTheme="minorHAnsi"/>
        </w:rPr>
      </w:r>
      <w:r>
        <w:rPr>
          <w:rFonts w:asciiTheme="minorHAnsi" w:hAnsiTheme="minorHAnsi"/>
        </w:rPr>
        <w:fldChar w:fldCharType="separate"/>
      </w:r>
      <w:r>
        <w:rPr>
          <w:rFonts w:asciiTheme="minorHAnsi" w:hAnsiTheme="minorHAnsi"/>
        </w:rPr>
        <w:t>3.1</w:t>
      </w:r>
      <w:r>
        <w:rPr>
          <w:rFonts w:asciiTheme="minorHAnsi" w:hAnsiTheme="minorHAnsi"/>
        </w:rPr>
        <w:fldChar w:fldCharType="end"/>
      </w:r>
      <w:r>
        <w:rPr>
          <w:rFonts w:asciiTheme="minorHAnsi" w:hAnsiTheme="minorHAnsi"/>
        </w:rPr>
        <w:t xml:space="preserve"> by the next Working Day and complete such process as soon as reasonably practicable.</w:t>
      </w:r>
    </w:p>
    <w:p w14:paraId="5E1A0B61" w14:textId="77777777" w:rsidR="000E2C9B" w:rsidRDefault="002369E9">
      <w:pPr>
        <w:pStyle w:val="GPSL2Numbered"/>
        <w:tabs>
          <w:tab w:val="clear" w:pos="1080"/>
          <w:tab w:val="num" w:pos="-216"/>
        </w:tabs>
      </w:pPr>
      <w:bookmarkStart w:id="3" w:name="_Ref498967224"/>
      <w:r>
        <w:t xml:space="preserve">Where works fall into the following categories, they are exclusions to Inclusive Repair Threshold and charges will be subject to review and agreement between the Supplier and the Buyer during Monthly contract performance meetings. Where charges apply, they will be considered via the Billable Works and Approvals </w:t>
      </w:r>
      <w:r w:rsidR="004F4986">
        <w:t xml:space="preserve">Process. </w:t>
      </w:r>
      <w:r>
        <w:t>This will include but not be limited to:</w:t>
      </w:r>
      <w:bookmarkEnd w:id="3"/>
    </w:p>
    <w:p w14:paraId="28337FAD" w14:textId="77777777" w:rsidR="000E2C9B" w:rsidRDefault="002369E9">
      <w:pPr>
        <w:pStyle w:val="GPSL3numberedclause"/>
        <w:keepNext/>
        <w:tabs>
          <w:tab w:val="clear" w:pos="1656"/>
          <w:tab w:val="num" w:pos="1296"/>
        </w:tabs>
        <w:ind w:left="1296"/>
      </w:pPr>
      <w:r>
        <w:lastRenderedPageBreak/>
        <w:t>Equipment Beyond Economic Repair, where costs, excluding management overhead and profit, exceed the Inclusive Repair Threshold;</w:t>
      </w:r>
    </w:p>
    <w:p w14:paraId="5AB5D7DA" w14:textId="77777777" w:rsidR="000E2C9B" w:rsidRDefault="002369E9">
      <w:pPr>
        <w:pStyle w:val="GPSL3numberedclause"/>
        <w:keepNext/>
        <w:tabs>
          <w:tab w:val="clear" w:pos="1656"/>
          <w:tab w:val="num" w:pos="1296"/>
        </w:tabs>
        <w:ind w:left="1296"/>
      </w:pPr>
      <w:r>
        <w:t>misuse of an Asset and/or abuse of an Asset where this can be proven by the Supplier;</w:t>
      </w:r>
    </w:p>
    <w:p w14:paraId="0D26B564" w14:textId="77777777" w:rsidR="000E2C9B" w:rsidRDefault="002369E9">
      <w:pPr>
        <w:pStyle w:val="GPSL3numberedclause"/>
        <w:keepNext/>
        <w:tabs>
          <w:tab w:val="clear" w:pos="1656"/>
          <w:tab w:val="num" w:pos="1296"/>
        </w:tabs>
        <w:ind w:left="1296"/>
      </w:pPr>
      <w:r>
        <w:t xml:space="preserve">vandalism; </w:t>
      </w:r>
    </w:p>
    <w:p w14:paraId="21098616" w14:textId="77777777" w:rsidR="000E2C9B" w:rsidRDefault="002369E9">
      <w:pPr>
        <w:pStyle w:val="GPSL3numberedclause"/>
        <w:keepNext/>
        <w:tabs>
          <w:tab w:val="clear" w:pos="1656"/>
          <w:tab w:val="num" w:pos="1296"/>
        </w:tabs>
        <w:ind w:left="1296"/>
      </w:pPr>
      <w:r>
        <w:t>damage or failure if due to continued use by the Buyer or building user after fault has been diagnosed and the Supplier has advised the Buyer not to use the Asset;</w:t>
      </w:r>
    </w:p>
    <w:p w14:paraId="0569BBC8" w14:textId="77777777" w:rsidR="000E2C9B" w:rsidRDefault="002369E9">
      <w:pPr>
        <w:pStyle w:val="GPSL3numberedclause"/>
        <w:keepNext/>
        <w:tabs>
          <w:tab w:val="clear" w:pos="1656"/>
          <w:tab w:val="num" w:pos="1296"/>
        </w:tabs>
        <w:ind w:left="1296"/>
      </w:pPr>
      <w:r>
        <w:t>the building user not following the Buyer or manufacturer’s operating procedural standards;</w:t>
      </w:r>
    </w:p>
    <w:p w14:paraId="4455AD90" w14:textId="77777777" w:rsidR="000E2C9B" w:rsidRDefault="002369E9">
      <w:pPr>
        <w:pStyle w:val="GPSL3numberedclause"/>
        <w:keepNext/>
        <w:tabs>
          <w:tab w:val="clear" w:pos="1656"/>
          <w:tab w:val="num" w:pos="1296"/>
        </w:tabs>
        <w:ind w:left="1296"/>
      </w:pPr>
      <w:r>
        <w:t>other unapproved suppliers repairing Assets;</w:t>
      </w:r>
    </w:p>
    <w:p w14:paraId="25F05936" w14:textId="77777777" w:rsidR="000E2C9B" w:rsidRDefault="002369E9">
      <w:pPr>
        <w:pStyle w:val="GPSL3numberedclause"/>
        <w:keepNext/>
        <w:tabs>
          <w:tab w:val="clear" w:pos="1656"/>
          <w:tab w:val="num" w:pos="1296"/>
        </w:tabs>
        <w:ind w:left="1296"/>
      </w:pPr>
      <w:r>
        <w:t xml:space="preserve">water or cleaning fluid damage due to incorrect cleaning procedures by building users; </w:t>
      </w:r>
    </w:p>
    <w:p w14:paraId="109B35AD" w14:textId="77777777" w:rsidR="000E2C9B" w:rsidRDefault="002369E9">
      <w:pPr>
        <w:pStyle w:val="GPSL3numberedclause"/>
        <w:keepNext/>
        <w:tabs>
          <w:tab w:val="clear" w:pos="1656"/>
          <w:tab w:val="num" w:pos="1296"/>
        </w:tabs>
        <w:ind w:left="1296"/>
      </w:pPr>
      <w:r>
        <w:t>damage or failure due to electrical supplies being interrupted or altered by others;</w:t>
      </w:r>
    </w:p>
    <w:p w14:paraId="2D66E525" w14:textId="77777777" w:rsidR="000E2C9B" w:rsidRDefault="002369E9">
      <w:pPr>
        <w:pStyle w:val="GPSL3numberedclause"/>
        <w:keepNext/>
        <w:tabs>
          <w:tab w:val="clear" w:pos="1656"/>
          <w:tab w:val="num" w:pos="1296"/>
        </w:tabs>
        <w:ind w:left="1296"/>
      </w:pPr>
      <w:r>
        <w:t>access denied to the Supplier where access had been agreed and prearranged;</w:t>
      </w:r>
    </w:p>
    <w:p w14:paraId="5F71983A" w14:textId="77777777" w:rsidR="000E2C9B" w:rsidRDefault="002369E9">
      <w:pPr>
        <w:pStyle w:val="GPSL3numberedclause"/>
        <w:keepNext/>
        <w:tabs>
          <w:tab w:val="clear" w:pos="1656"/>
          <w:tab w:val="num" w:pos="1296"/>
        </w:tabs>
        <w:ind w:left="1296"/>
      </w:pPr>
      <w:r>
        <w:t>buyer specifies a price variation;</w:t>
      </w:r>
    </w:p>
    <w:p w14:paraId="23E9D678" w14:textId="77777777" w:rsidR="000E2C9B" w:rsidRDefault="002369E9">
      <w:pPr>
        <w:pStyle w:val="GPSL3numberedclause"/>
        <w:keepNext/>
        <w:tabs>
          <w:tab w:val="clear" w:pos="1656"/>
          <w:tab w:val="num" w:pos="1296"/>
        </w:tabs>
        <w:ind w:left="1296"/>
      </w:pPr>
      <w:r>
        <w:t>fire, leaks, act of god, storm damage, floods or similar force majeure; unless caused by an act or failure of the Supplier;</w:t>
      </w:r>
    </w:p>
    <w:p w14:paraId="5CD57490" w14:textId="77777777" w:rsidR="000E2C9B" w:rsidRDefault="002369E9">
      <w:pPr>
        <w:pStyle w:val="GPSL3numberedclause"/>
        <w:keepNext/>
        <w:tabs>
          <w:tab w:val="clear" w:pos="1656"/>
          <w:tab w:val="num" w:pos="1296"/>
        </w:tabs>
        <w:ind w:left="1296"/>
      </w:pPr>
      <w:r>
        <w:t>Billable Works;</w:t>
      </w:r>
    </w:p>
    <w:p w14:paraId="03E59048" w14:textId="77777777" w:rsidR="000E2C9B" w:rsidRDefault="002369E9">
      <w:pPr>
        <w:pStyle w:val="GPSL3numberedclause"/>
        <w:keepNext/>
        <w:tabs>
          <w:tab w:val="clear" w:pos="1656"/>
          <w:tab w:val="num" w:pos="1296"/>
        </w:tabs>
        <w:ind w:left="1296"/>
      </w:pPr>
      <w:r>
        <w:t>that part of the cost of the Reactive Maintenance Works for an event which exceeds the Inclusive Repair Threshold; and</w:t>
      </w:r>
    </w:p>
    <w:p w14:paraId="18DCD713" w14:textId="77777777" w:rsidR="000E2C9B" w:rsidRDefault="002369E9">
      <w:pPr>
        <w:pStyle w:val="GPSL3numberedclause"/>
        <w:keepNext/>
        <w:tabs>
          <w:tab w:val="clear" w:pos="1656"/>
          <w:tab w:val="num" w:pos="1296"/>
        </w:tabs>
        <w:ind w:left="1296"/>
      </w:pPr>
      <w:proofErr w:type="gramStart"/>
      <w:r>
        <w:t>operator</w:t>
      </w:r>
      <w:proofErr w:type="gramEnd"/>
      <w:r>
        <w:t xml:space="preserve"> error by a building user, where this can be proven by the Supplier. </w:t>
      </w:r>
    </w:p>
    <w:p w14:paraId="6B33C13A" w14:textId="77777777" w:rsidR="000E2C9B" w:rsidRDefault="002369E9">
      <w:pPr>
        <w:pStyle w:val="GPSL2Numbered"/>
      </w:pPr>
      <w:r>
        <w:t>The above listed works include works arising from Planned Maintenance.</w:t>
      </w:r>
    </w:p>
    <w:p w14:paraId="3B88B94B" w14:textId="08D11490" w:rsidR="000E2C9B" w:rsidRDefault="002369E9">
      <w:pPr>
        <w:pStyle w:val="GPSL2Numbered"/>
      </w:pPr>
      <w:r>
        <w:t xml:space="preserve">A schedule of works arising from events listed in paragraph </w:t>
      </w:r>
      <w:r>
        <w:fldChar w:fldCharType="begin"/>
      </w:r>
      <w:r>
        <w:instrText xml:space="preserve"> REF _Ref498967224 \r \h  \* MERGEFORMAT </w:instrText>
      </w:r>
      <w:r>
        <w:fldChar w:fldCharType="separate"/>
      </w:r>
      <w:r>
        <w:t>5.6</w:t>
      </w:r>
      <w:r>
        <w:fldChar w:fldCharType="end"/>
      </w:r>
      <w:r>
        <w:t xml:space="preserve"> above </w:t>
      </w:r>
      <w:proofErr w:type="gramStart"/>
      <w:r>
        <w:t>shall be provided</w:t>
      </w:r>
      <w:proofErr w:type="gramEnd"/>
      <w:r>
        <w:t xml:space="preserve"> to the Buyer on a monthly basis and payment will be made through the defined approval process as agreed between the Buyer and the Supplier. </w:t>
      </w:r>
    </w:p>
    <w:sectPr w:rsidR="000E2C9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BC043" w14:textId="77777777" w:rsidR="00CA54AF" w:rsidRDefault="00CA54AF">
      <w:pPr>
        <w:spacing w:after="0"/>
      </w:pPr>
      <w:r>
        <w:separator/>
      </w:r>
    </w:p>
  </w:endnote>
  <w:endnote w:type="continuationSeparator" w:id="0">
    <w:p w14:paraId="6C338577" w14:textId="77777777" w:rsidR="00CA54AF" w:rsidRDefault="00CA5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Zhongsong">
    <w:altName w:val="Arial Unicode MS"/>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61A31" w14:textId="77777777" w:rsidR="000E2C9B" w:rsidRDefault="000E2C9B">
    <w:pPr>
      <w:tabs>
        <w:tab w:val="center" w:pos="4513"/>
        <w:tab w:val="right" w:pos="9026"/>
      </w:tabs>
      <w:spacing w:after="0"/>
    </w:pPr>
  </w:p>
  <w:p w14:paraId="611795ED" w14:textId="77777777" w:rsidR="000E2C9B" w:rsidRDefault="002369E9">
    <w:pPr>
      <w:tabs>
        <w:tab w:val="center" w:pos="4513"/>
        <w:tab w:val="right" w:pos="9026"/>
      </w:tabs>
      <w:spacing w:after="0"/>
    </w:pPr>
    <w:r>
      <w:t>Ref: RM3830</w:t>
    </w:r>
  </w:p>
  <w:p w14:paraId="60DF93EA" w14:textId="30A47219" w:rsidR="000E2C9B" w:rsidRDefault="000E2C9B">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999A3" w14:textId="77777777" w:rsidR="00CA54AF" w:rsidRDefault="00CA54AF">
      <w:pPr>
        <w:spacing w:after="0"/>
      </w:pPr>
      <w:r>
        <w:separator/>
      </w:r>
    </w:p>
  </w:footnote>
  <w:footnote w:type="continuationSeparator" w:id="0">
    <w:p w14:paraId="202233EF" w14:textId="77777777" w:rsidR="00CA54AF" w:rsidRDefault="00CA54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F331A" w14:textId="61127E0D" w:rsidR="000E2C9B" w:rsidRDefault="002369E9">
    <w:pPr>
      <w:pStyle w:val="Header"/>
      <w:rPr>
        <w:b/>
      </w:rPr>
    </w:pPr>
    <w:r>
      <w:rPr>
        <w:b/>
      </w:rPr>
      <w:t>Call-Off Schedule 4A (Billable Works and Projects)</w:t>
    </w:r>
    <w:r w:rsidR="00350974">
      <w:rPr>
        <w:b/>
      </w:rPr>
      <w:t xml:space="preserve"> </w:t>
    </w:r>
    <w:r w:rsidR="00AD24D9">
      <w:rPr>
        <w:b/>
      </w:rPr>
      <w:t xml:space="preserve">Direct Award </w:t>
    </w:r>
    <w:r w:rsidR="00350974">
      <w:rPr>
        <w:b/>
      </w:rPr>
      <w:t>v1.0</w:t>
    </w:r>
  </w:p>
  <w:p w14:paraId="49D83919" w14:textId="77777777" w:rsidR="000E2C9B" w:rsidRDefault="002369E9">
    <w:pPr>
      <w:pStyle w:val="Header"/>
    </w:pPr>
    <w:r>
      <w:rPr>
        <w:rStyle w:val="Emphasis"/>
        <w:noProof/>
        <w:lang w:eastAsia="en-GB"/>
      </w:rPr>
      <w:drawing>
        <wp:anchor distT="0" distB="0" distL="114300" distR="114300" simplePos="0" relativeHeight="251659264" behindDoc="0" locked="0" layoutInCell="1" allowOverlap="1" wp14:anchorId="4C37A0EF" wp14:editId="0D25CAAB">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Crown Copyright 2017</w:t>
    </w:r>
  </w:p>
  <w:p w14:paraId="071346F5" w14:textId="77777777" w:rsidR="000E2C9B" w:rsidRDefault="000E2C9B">
    <w:pPr>
      <w:pStyle w:val="Header"/>
    </w:pPr>
  </w:p>
  <w:p w14:paraId="0995D470" w14:textId="77777777" w:rsidR="000E2C9B" w:rsidRDefault="000E2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994"/>
    <w:multiLevelType w:val="multilevel"/>
    <w:tmpl w:val="2D0223D2"/>
    <w:lvl w:ilvl="0">
      <w:start w:val="1"/>
      <w:numFmt w:val="decimal"/>
      <w:lvlText w:val="%1."/>
      <w:lvlJc w:val="left"/>
      <w:pPr>
        <w:tabs>
          <w:tab w:val="num" w:pos="360"/>
        </w:tabs>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1260"/>
        </w:tabs>
        <w:ind w:left="1260"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40"/>
        </w:tabs>
        <w:ind w:left="1440" w:hanging="792"/>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47"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lvlText w:val="(%6)"/>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15:restartNumberingAfterBreak="0">
    <w:nsid w:val="0FEE4FED"/>
    <w:multiLevelType w:val="multilevel"/>
    <w:tmpl w:val="5032E67A"/>
    <w:lvl w:ilvl="0">
      <w:start w:val="1"/>
      <w:numFmt w:val="none"/>
      <w:pStyle w:val="GPsDefinition"/>
      <w:lvlText w:val="%1"/>
      <w:lvlJc w:val="left"/>
      <w:pPr>
        <w:ind w:left="170" w:hanging="170"/>
      </w:pPr>
      <w:rPr>
        <w:rFonts w:ascii="Arial" w:hAnsi="Arial" w:hint="default"/>
        <w:sz w:val="22"/>
      </w:rPr>
    </w:lvl>
    <w:lvl w:ilvl="1">
      <w:start w:val="1"/>
      <w:numFmt w:val="lowerLetter"/>
      <w:pStyle w:val="GPSDefinitionL2"/>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GPSDefinitionL3"/>
      <w:lvlText w:val="%3)"/>
      <w:lvlJc w:val="left"/>
      <w:pPr>
        <w:ind w:left="1080" w:hanging="360"/>
      </w:pPr>
      <w:rPr>
        <w:rFonts w:ascii="Arial" w:hAnsi="Arial" w:hint="default"/>
        <w:sz w:val="22"/>
      </w:rPr>
    </w:lvl>
    <w:lvl w:ilvl="3">
      <w:start w:val="1"/>
      <w:numFmt w:val="decimal"/>
      <w:pStyle w:val="GPSDefinition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27F3D"/>
    <w:multiLevelType w:val="multilevel"/>
    <w:tmpl w:val="FDCE6144"/>
    <w:name w:val="Definition Numbering List"/>
    <w:lvl w:ilvl="0">
      <w:start w:val="1"/>
      <w:numFmt w:val="none"/>
      <w:lvlRestart w:val="0"/>
      <w:suff w:val="nothing"/>
      <w:lvlText w:val=""/>
      <w:lvlJc w:val="left"/>
      <w:pPr>
        <w:ind w:left="360" w:firstLine="0"/>
      </w:pPr>
      <w:rPr>
        <w:rFonts w:hint="default"/>
        <w:caps w:val="0"/>
        <w:effect w:val="none"/>
      </w:rPr>
    </w:lvl>
    <w:lvl w:ilvl="1">
      <w:start w:val="1"/>
      <w:numFmt w:val="decimal"/>
      <w:lvlRestart w:val="0"/>
      <w:suff w:val="nothing"/>
      <w:lvlText w:val="%1.%2"/>
      <w:lvlJc w:val="left"/>
      <w:pPr>
        <w:ind w:left="360" w:firstLine="0"/>
      </w:pPr>
      <w:rPr>
        <w:rFonts w:hint="default"/>
        <w:caps w:val="0"/>
        <w:effect w:val="none"/>
      </w:rPr>
    </w:lvl>
    <w:lvl w:ilvl="2">
      <w:start w:val="1"/>
      <w:numFmt w:val="lowerLetter"/>
      <w:lvlText w:val="(%3)"/>
      <w:lvlJc w:val="left"/>
      <w:pPr>
        <w:tabs>
          <w:tab w:val="num" w:pos="360"/>
        </w:tabs>
        <w:ind w:left="360" w:hanging="720"/>
      </w:pPr>
      <w:rPr>
        <w:rFonts w:hint="default"/>
        <w:caps w:val="0"/>
        <w:effect w:val="none"/>
      </w:rPr>
    </w:lvl>
    <w:lvl w:ilvl="3">
      <w:start w:val="1"/>
      <w:numFmt w:val="lowerRoman"/>
      <w:lvlText w:val="(%4)"/>
      <w:lvlJc w:val="left"/>
      <w:pPr>
        <w:tabs>
          <w:tab w:val="num" w:pos="2520"/>
        </w:tabs>
        <w:ind w:left="2520" w:hanging="1080"/>
      </w:pPr>
      <w:rPr>
        <w:rFonts w:hint="default"/>
        <w:caps w:val="0"/>
        <w:effect w:val="none"/>
      </w:rPr>
    </w:lvl>
    <w:lvl w:ilvl="4">
      <w:start w:val="1"/>
      <w:numFmt w:val="upperLetter"/>
      <w:lvlText w:val="(%5)"/>
      <w:lvlJc w:val="left"/>
      <w:pPr>
        <w:tabs>
          <w:tab w:val="num" w:pos="3240"/>
        </w:tabs>
        <w:ind w:left="3240" w:hanging="720"/>
      </w:pPr>
      <w:rPr>
        <w:rFonts w:hint="default"/>
        <w:caps w:val="0"/>
        <w:effect w:val="none"/>
      </w:rPr>
    </w:lvl>
    <w:lvl w:ilvl="5">
      <w:start w:val="1"/>
      <w:numFmt w:val="none"/>
      <w:lvlText w:val=""/>
      <w:lvlJc w:val="left"/>
      <w:pPr>
        <w:tabs>
          <w:tab w:val="num" w:pos="2520"/>
        </w:tabs>
        <w:ind w:left="2520" w:hanging="1080"/>
      </w:pPr>
      <w:rPr>
        <w:rFonts w:hint="default"/>
        <w:caps w:val="0"/>
        <w:effect w:val="none"/>
      </w:rPr>
    </w:lvl>
    <w:lvl w:ilvl="6">
      <w:start w:val="1"/>
      <w:numFmt w:val="none"/>
      <w:lvlText w:val=""/>
      <w:lvlJc w:val="left"/>
      <w:pPr>
        <w:tabs>
          <w:tab w:val="num" w:pos="2520"/>
        </w:tabs>
        <w:ind w:left="2520" w:hanging="1080"/>
      </w:pPr>
      <w:rPr>
        <w:rFonts w:hint="default"/>
        <w:caps w:val="0"/>
        <w:effect w:val="none"/>
      </w:rPr>
    </w:lvl>
    <w:lvl w:ilvl="7">
      <w:start w:val="1"/>
      <w:numFmt w:val="none"/>
      <w:lvlText w:val=""/>
      <w:lvlJc w:val="left"/>
      <w:pPr>
        <w:tabs>
          <w:tab w:val="num" w:pos="2520"/>
        </w:tabs>
        <w:ind w:left="2520" w:hanging="1080"/>
      </w:pPr>
      <w:rPr>
        <w:rFonts w:hint="default"/>
        <w:caps w:val="0"/>
        <w:effect w:val="none"/>
      </w:rPr>
    </w:lvl>
    <w:lvl w:ilvl="8">
      <w:start w:val="1"/>
      <w:numFmt w:val="none"/>
      <w:lvlText w:val=""/>
      <w:lvlJc w:val="left"/>
      <w:pPr>
        <w:tabs>
          <w:tab w:val="num" w:pos="2520"/>
        </w:tabs>
        <w:ind w:left="2520" w:hanging="1080"/>
      </w:pPr>
      <w:rPr>
        <w:rFonts w:hint="default"/>
        <w:caps w:val="0"/>
        <w:effect w:val="none"/>
      </w:rPr>
    </w:lvl>
  </w:abstractNum>
  <w:abstractNum w:abstractNumId="3" w15:restartNumberingAfterBreak="0">
    <w:nsid w:val="4ED6385D"/>
    <w:multiLevelType w:val="multilevel"/>
    <w:tmpl w:val="564884CA"/>
    <w:name w:val="Plato Heading List"/>
    <w:lvl w:ilvl="0">
      <w:start w:val="1"/>
      <w:numFmt w:val="decimal"/>
      <w:lvlText w:val="%1."/>
      <w:lvlJc w:val="left"/>
      <w:pPr>
        <w:tabs>
          <w:tab w:val="num" w:pos="720"/>
        </w:tabs>
        <w:ind w:left="720" w:hanging="720"/>
      </w:pPr>
      <w:rPr>
        <w:b/>
        <w:i w:val="0"/>
        <w:caps/>
        <w:smallCaps w:val="0"/>
        <w:strike w:val="0"/>
        <w:dstrike w:val="0"/>
        <w:u w:val="none"/>
        <w:effect w:val="none"/>
      </w:rPr>
    </w:lvl>
    <w:lvl w:ilvl="1">
      <w:start w:val="1"/>
      <w:numFmt w:val="decimal"/>
      <w:lvlText w:val="%1.%2"/>
      <w:lvlJc w:val="left"/>
      <w:pPr>
        <w:tabs>
          <w:tab w:val="num" w:pos="1680"/>
        </w:tabs>
        <w:ind w:left="1680" w:hanging="720"/>
      </w:pPr>
      <w:rPr>
        <w:b w:val="0"/>
        <w:i w:val="0"/>
        <w:caps/>
        <w:smallCaps w:val="0"/>
        <w:strike w:val="0"/>
        <w:dstrike w:val="0"/>
        <w:u w:val="none"/>
        <w:effect w:val="none"/>
      </w:rPr>
    </w:lvl>
    <w:lvl w:ilvl="2">
      <w:start w:val="1"/>
      <w:numFmt w:val="decimal"/>
      <w:lvlText w:val="%1.%2.%3"/>
      <w:lvlJc w:val="left"/>
      <w:pPr>
        <w:tabs>
          <w:tab w:val="num" w:pos="2520"/>
        </w:tabs>
        <w:ind w:left="2520" w:hanging="1080"/>
      </w:pPr>
      <w:rPr>
        <w:b w:val="0"/>
        <w:i w:val="0"/>
        <w:caps/>
        <w:smallCaps w:val="0"/>
        <w:strike w:val="0"/>
        <w:dstrike w:val="0"/>
        <w:u w:val="none"/>
        <w:effect w:val="none"/>
      </w:rPr>
    </w:lvl>
    <w:lvl w:ilvl="3">
      <w:start w:val="1"/>
      <w:numFmt w:val="decimal"/>
      <w:lvlText w:val="%1.%2.%3.%4"/>
      <w:lvlJc w:val="left"/>
      <w:pPr>
        <w:tabs>
          <w:tab w:val="num" w:pos="3600"/>
        </w:tabs>
        <w:ind w:left="3600" w:hanging="1080"/>
      </w:pPr>
      <w:rPr>
        <w:b w:val="0"/>
        <w:i w:val="0"/>
        <w:effect w:val="none"/>
      </w:rPr>
    </w:lvl>
    <w:lvl w:ilvl="4">
      <w:start w:val="1"/>
      <w:numFmt w:val="lowerLetter"/>
      <w:lvlText w:val="(%5)"/>
      <w:lvlJc w:val="left"/>
      <w:pPr>
        <w:tabs>
          <w:tab w:val="num" w:pos="4320"/>
        </w:tabs>
        <w:ind w:left="4320" w:hanging="720"/>
      </w:pPr>
      <w:rPr>
        <w:b w:val="0"/>
        <w:i w:val="0"/>
        <w:effect w:val="none"/>
      </w:rPr>
    </w:lvl>
    <w:lvl w:ilvl="5">
      <w:start w:val="1"/>
      <w:numFmt w:val="lowerRoman"/>
      <w:lvlText w:val="(%6)"/>
      <w:lvlJc w:val="left"/>
      <w:pPr>
        <w:tabs>
          <w:tab w:val="num" w:pos="4320"/>
        </w:tabs>
        <w:ind w:left="4320" w:hanging="720"/>
      </w:pPr>
      <w:rPr>
        <w:effect w:val="none"/>
      </w:rPr>
    </w:lvl>
    <w:lvl w:ilvl="6">
      <w:start w:val="1"/>
      <w:numFmt w:val="decimal"/>
      <w:lvlText w:val="(%7)"/>
      <w:lvlJc w:val="left"/>
      <w:pPr>
        <w:tabs>
          <w:tab w:val="num" w:pos="5040"/>
        </w:tabs>
        <w:ind w:left="5040" w:hanging="720"/>
      </w:pPr>
      <w:rPr>
        <w:effect w:val="none"/>
      </w:r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4" w15:restartNumberingAfterBreak="0">
    <w:nsid w:val="51200365"/>
    <w:multiLevelType w:val="multilevel"/>
    <w:tmpl w:val="EAC62AD6"/>
    <w:lvl w:ilvl="0">
      <w:start w:val="1"/>
      <w:numFmt w:val="decimal"/>
      <w:lvlRestart w:val="0"/>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specVanish w:val="0"/>
      </w:rPr>
    </w:lvl>
    <w:lvl w:ilvl="1">
      <w:start w:val="1"/>
      <w:numFmt w:val="decimal"/>
      <w:lvlText w:val="%1.%2"/>
      <w:lvlJc w:val="left"/>
      <w:pPr>
        <w:tabs>
          <w:tab w:val="num" w:pos="862"/>
        </w:tabs>
        <w:ind w:left="862" w:hanging="720"/>
      </w:pPr>
      <w:rPr>
        <w:rFonts w:hint="default"/>
        <w:b w:val="0"/>
        <w:i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781"/>
        </w:tabs>
        <w:ind w:left="2781" w:hanging="1080"/>
      </w:pPr>
      <w:rPr>
        <w:rFonts w:ascii="Arial" w:hAnsi="Arial" w:hint="default"/>
        <w:b w:val="0"/>
        <w:caps w:val="0"/>
        <w:effect w:val="none"/>
      </w:rPr>
    </w:lvl>
    <w:lvl w:ilvl="4">
      <w:start w:val="1"/>
      <w:numFmt w:val="lowerLetter"/>
      <w:lvlText w:val="(%5)"/>
      <w:lvlJc w:val="left"/>
      <w:pPr>
        <w:tabs>
          <w:tab w:val="num" w:pos="3600"/>
        </w:tabs>
        <w:ind w:left="3600" w:hanging="720"/>
      </w:pPr>
      <w:rPr>
        <w:rFonts w:hint="default"/>
        <w:b w:val="0"/>
        <w:caps w:val="0"/>
        <w:effect w:val="none"/>
      </w:rPr>
    </w:lvl>
    <w:lvl w:ilvl="5">
      <w:start w:val="1"/>
      <w:numFmt w:val="lowerRoman"/>
      <w:lvlText w:val="(%6)"/>
      <w:lvlJc w:val="left"/>
      <w:pPr>
        <w:tabs>
          <w:tab w:val="num" w:pos="4320"/>
        </w:tabs>
        <w:ind w:left="4320" w:hanging="720"/>
      </w:pPr>
      <w:rPr>
        <w:rFonts w:hint="default"/>
        <w:b w:val="0"/>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5" w15:restartNumberingAfterBreak="0">
    <w:nsid w:val="532157F3"/>
    <w:multiLevelType w:val="multilevel"/>
    <w:tmpl w:val="EDFA19C4"/>
    <w:lvl w:ilvl="0">
      <w:start w:val="1"/>
      <w:numFmt w:val="decimal"/>
      <w:pStyle w:val="GPSL1CLAUSEHEADING"/>
      <w:lvlText w:val="%1."/>
      <w:lvlJc w:val="left"/>
      <w:pPr>
        <w:tabs>
          <w:tab w:val="num" w:pos="360"/>
        </w:tabs>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
      <w:isLgl/>
      <w:lvlText w:val="%1.%2"/>
      <w:lvlJc w:val="left"/>
      <w:pPr>
        <w:tabs>
          <w:tab w:val="num" w:pos="1080"/>
        </w:tabs>
        <w:ind w:left="1080"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tabs>
          <w:tab w:val="num" w:pos="1656"/>
        </w:tabs>
        <w:ind w:left="1656" w:hanging="576"/>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tabs>
          <w:tab w:val="num" w:pos="2520"/>
        </w:tabs>
        <w:ind w:left="2520" w:hanging="864"/>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tabs>
          <w:tab w:val="num" w:pos="3240"/>
        </w:tabs>
        <w:ind w:left="324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621D4EC9"/>
    <w:multiLevelType w:val="hybridMultilevel"/>
    <w:tmpl w:val="972E66BE"/>
    <w:lvl w:ilvl="0" w:tplc="FFFFFFFF">
      <w:start w:val="1"/>
      <w:numFmt w:val="decimal"/>
      <w:lvlText w:val="%1."/>
      <w:lvlJc w:val="left"/>
      <w:pPr>
        <w:ind w:left="862" w:hanging="360"/>
      </w:pPr>
      <w:rPr>
        <w:rFonts w:cs="Times New Roman" w:hint="default"/>
      </w:rPr>
    </w:lvl>
    <w:lvl w:ilvl="1" w:tplc="FFFFFFFF" w:tentative="1">
      <w:start w:val="1"/>
      <w:numFmt w:val="lowerLetter"/>
      <w:lvlText w:val="%2."/>
      <w:lvlJc w:val="left"/>
      <w:pPr>
        <w:ind w:left="1582" w:hanging="360"/>
      </w:pPr>
      <w:rPr>
        <w:rFonts w:cs="Times New Roman"/>
      </w:rPr>
    </w:lvl>
    <w:lvl w:ilvl="2" w:tplc="FFFFFFFF" w:tentative="1">
      <w:start w:val="1"/>
      <w:numFmt w:val="lowerRoman"/>
      <w:lvlText w:val="%3."/>
      <w:lvlJc w:val="right"/>
      <w:pPr>
        <w:ind w:left="2302" w:hanging="180"/>
      </w:pPr>
      <w:rPr>
        <w:rFonts w:cs="Times New Roman"/>
      </w:rPr>
    </w:lvl>
    <w:lvl w:ilvl="3" w:tplc="FFFFFFFF" w:tentative="1">
      <w:start w:val="1"/>
      <w:numFmt w:val="decimal"/>
      <w:lvlText w:val="%4."/>
      <w:lvlJc w:val="left"/>
      <w:pPr>
        <w:ind w:left="3022" w:hanging="360"/>
      </w:pPr>
      <w:rPr>
        <w:rFonts w:cs="Times New Roman"/>
      </w:rPr>
    </w:lvl>
    <w:lvl w:ilvl="4" w:tplc="FFFFFFFF" w:tentative="1">
      <w:start w:val="1"/>
      <w:numFmt w:val="lowerLetter"/>
      <w:lvlText w:val="%5."/>
      <w:lvlJc w:val="left"/>
      <w:pPr>
        <w:ind w:left="3742" w:hanging="360"/>
      </w:pPr>
      <w:rPr>
        <w:rFonts w:cs="Times New Roman"/>
      </w:rPr>
    </w:lvl>
    <w:lvl w:ilvl="5" w:tplc="FFFFFFFF" w:tentative="1">
      <w:start w:val="1"/>
      <w:numFmt w:val="lowerRoman"/>
      <w:lvlText w:val="%6."/>
      <w:lvlJc w:val="right"/>
      <w:pPr>
        <w:ind w:left="4462" w:hanging="180"/>
      </w:pPr>
      <w:rPr>
        <w:rFonts w:cs="Times New Roman"/>
      </w:rPr>
    </w:lvl>
    <w:lvl w:ilvl="6" w:tplc="FFFFFFFF" w:tentative="1">
      <w:start w:val="1"/>
      <w:numFmt w:val="decimal"/>
      <w:lvlText w:val="%7."/>
      <w:lvlJc w:val="left"/>
      <w:pPr>
        <w:ind w:left="5182" w:hanging="360"/>
      </w:pPr>
      <w:rPr>
        <w:rFonts w:cs="Times New Roman"/>
      </w:rPr>
    </w:lvl>
    <w:lvl w:ilvl="7" w:tplc="FFFFFFFF" w:tentative="1">
      <w:start w:val="1"/>
      <w:numFmt w:val="lowerLetter"/>
      <w:lvlText w:val="%8."/>
      <w:lvlJc w:val="left"/>
      <w:pPr>
        <w:ind w:left="5902" w:hanging="360"/>
      </w:pPr>
      <w:rPr>
        <w:rFonts w:cs="Times New Roman"/>
      </w:rPr>
    </w:lvl>
    <w:lvl w:ilvl="8" w:tplc="FFFFFFFF" w:tentative="1">
      <w:start w:val="1"/>
      <w:numFmt w:val="lowerRoman"/>
      <w:lvlText w:val="%9."/>
      <w:lvlJc w:val="right"/>
      <w:pPr>
        <w:ind w:left="6622" w:hanging="180"/>
      </w:pPr>
      <w:rPr>
        <w:rFonts w:cs="Times New Roman"/>
      </w:rPr>
    </w:lvl>
  </w:abstractNum>
  <w:abstractNum w:abstractNumId="7" w15:restartNumberingAfterBreak="0">
    <w:nsid w:val="6B2E0D7D"/>
    <w:multiLevelType w:val="hybridMultilevel"/>
    <w:tmpl w:val="37BC959E"/>
    <w:lvl w:ilvl="0" w:tplc="9DF8CC88">
      <w:start w:val="1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2936E4"/>
    <w:multiLevelType w:val="multilevel"/>
    <w:tmpl w:val="914ECF1E"/>
    <w:lvl w:ilvl="0">
      <w:start w:val="1"/>
      <w:numFmt w:val="decimal"/>
      <w:lvlText w:val="%1."/>
      <w:lvlJc w:val="left"/>
      <w:pPr>
        <w:tabs>
          <w:tab w:val="num" w:pos="360"/>
        </w:tabs>
        <w:ind w:left="360" w:hanging="36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ind w:left="928"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3272"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3349"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lvlText w:val="(%6)"/>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7"/>
  </w:num>
  <w:num w:numId="3">
    <w:abstractNumId w:val="8"/>
  </w:num>
  <w:num w:numId="4">
    <w:abstractNumId w:val="5"/>
  </w:num>
  <w:num w:numId="5">
    <w:abstractNumId w:val="0"/>
  </w:num>
  <w:num w:numId="6">
    <w:abstractNumId w:val="5"/>
  </w:num>
  <w:num w:numId="7">
    <w:abstractNumId w:val="5"/>
  </w:num>
  <w:num w:numId="8">
    <w:abstractNumId w:val="5"/>
  </w:num>
  <w:num w:numId="9">
    <w:abstractNumId w:val="5"/>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num>
  <w:num w:numId="14">
    <w:abstractNumId w:val="4"/>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5"/>
  </w:num>
  <w:num w:numId="66">
    <w:abstractNumId w:val="5"/>
  </w:num>
  <w:num w:numId="67">
    <w:abstractNumId w:val="5"/>
  </w:num>
  <w:num w:numId="68">
    <w:abstractNumId w:val="5"/>
  </w:num>
  <w:num w:numId="69">
    <w:abstractNumId w:val="5"/>
  </w:num>
  <w:num w:numId="70">
    <w:abstractNumId w:val="5"/>
  </w:num>
  <w:num w:numId="71">
    <w:abstractNumId w:val="5"/>
  </w:num>
  <w:num w:numId="72">
    <w:abstractNumId w:val="5"/>
  </w:num>
  <w:num w:numId="73">
    <w:abstractNumId w:val="5"/>
  </w:num>
  <w:num w:numId="74">
    <w:abstractNumId w:val="5"/>
  </w:num>
  <w:num w:numId="75">
    <w:abstractNumId w:val="5"/>
  </w:num>
  <w:num w:numId="76">
    <w:abstractNumId w:val="5"/>
  </w:num>
  <w:num w:numId="77">
    <w:abstractNumId w:val="5"/>
  </w:num>
  <w:num w:numId="78">
    <w:abstractNumId w:val="5"/>
  </w:num>
  <w:num w:numId="79">
    <w:abstractNumId w:val="5"/>
  </w:num>
  <w:num w:numId="80">
    <w:abstractNumId w:val="5"/>
  </w:num>
  <w:num w:numId="81">
    <w:abstractNumId w:val="5"/>
  </w:num>
  <w:num w:numId="82">
    <w:abstractNumId w:val="5"/>
  </w:num>
  <w:num w:numId="83">
    <w:abstractNumId w:val="5"/>
  </w:num>
  <w:num w:numId="84">
    <w:abstractNumId w:val="5"/>
  </w:num>
  <w:num w:numId="85">
    <w:abstractNumId w:val="5"/>
  </w:num>
  <w:num w:numId="86">
    <w:abstractNumId w:val="5"/>
  </w:num>
  <w:num w:numId="87">
    <w:abstractNumId w:val="5"/>
  </w:num>
  <w:num w:numId="88">
    <w:abstractNumId w:val="5"/>
  </w:num>
  <w:num w:numId="89">
    <w:abstractNumId w:val="5"/>
  </w:num>
  <w:num w:numId="90">
    <w:abstractNumId w:val="5"/>
  </w:num>
  <w:num w:numId="91">
    <w:abstractNumId w:val="5"/>
  </w:num>
  <w:num w:numId="92">
    <w:abstractNumId w:val="5"/>
  </w:num>
  <w:num w:numId="93">
    <w:abstractNumId w:val="5"/>
  </w:num>
  <w:num w:numId="94">
    <w:abstractNumId w:val="5"/>
  </w:num>
  <w:num w:numId="95">
    <w:abstractNumId w:val="5"/>
  </w:num>
  <w:num w:numId="96">
    <w:abstractNumId w:val="5"/>
  </w:num>
  <w:num w:numId="97">
    <w:abstractNumId w:val="5"/>
  </w:num>
  <w:num w:numId="98">
    <w:abstractNumId w:val="5"/>
  </w:num>
  <w:num w:numId="99">
    <w:abstractNumId w:val="5"/>
  </w:num>
  <w:num w:numId="100">
    <w:abstractNumId w:val="5"/>
  </w:num>
  <w:num w:numId="101">
    <w:abstractNumId w:val="5"/>
  </w:num>
  <w:num w:numId="102">
    <w:abstractNumId w:val="5"/>
  </w:num>
  <w:num w:numId="103">
    <w:abstractNumId w:val="5"/>
  </w:num>
  <w:num w:numId="104">
    <w:abstractNumId w:val="5"/>
  </w:num>
  <w:num w:numId="105">
    <w:abstractNumId w:val="5"/>
  </w:num>
  <w:num w:numId="106">
    <w:abstractNumId w:val="5"/>
  </w:num>
  <w:num w:numId="107">
    <w:abstractNumId w:val="5"/>
  </w:num>
  <w:num w:numId="108">
    <w:abstractNumId w:val="5"/>
  </w:num>
  <w:num w:numId="109">
    <w:abstractNumId w:val="5"/>
  </w:num>
  <w:num w:numId="110">
    <w:abstractNumId w:val="5"/>
  </w:num>
  <w:num w:numId="111">
    <w:abstractNumId w:val="5"/>
  </w:num>
  <w:num w:numId="112">
    <w:abstractNumId w:val="5"/>
  </w:num>
  <w:num w:numId="113">
    <w:abstractNumId w:val="5"/>
  </w:num>
  <w:num w:numId="114">
    <w:abstractNumId w:val="2"/>
  </w:num>
  <w:num w:numId="115">
    <w:abstractNumId w:val="5"/>
  </w:num>
  <w:num w:numId="116">
    <w:abstractNumId w:val="1"/>
  </w:num>
  <w:num w:numId="117">
    <w:abstractNumId w:val="5"/>
  </w:num>
  <w:num w:numId="118">
    <w:abstractNumId w:val="5"/>
  </w:num>
  <w:num w:numId="119">
    <w:abstractNumId w:val="5"/>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B"/>
    <w:rsid w:val="00000852"/>
    <w:rsid w:val="00045A14"/>
    <w:rsid w:val="000E2C9B"/>
    <w:rsid w:val="000F1466"/>
    <w:rsid w:val="00131E5C"/>
    <w:rsid w:val="00192EB4"/>
    <w:rsid w:val="001D5CCD"/>
    <w:rsid w:val="00202745"/>
    <w:rsid w:val="002369E9"/>
    <w:rsid w:val="002A50F2"/>
    <w:rsid w:val="0032093C"/>
    <w:rsid w:val="0034694E"/>
    <w:rsid w:val="00350974"/>
    <w:rsid w:val="0035448F"/>
    <w:rsid w:val="00386224"/>
    <w:rsid w:val="0038729A"/>
    <w:rsid w:val="003C242E"/>
    <w:rsid w:val="003E7EAD"/>
    <w:rsid w:val="004039F9"/>
    <w:rsid w:val="004701FF"/>
    <w:rsid w:val="0048370B"/>
    <w:rsid w:val="004F4986"/>
    <w:rsid w:val="00690E01"/>
    <w:rsid w:val="00847D64"/>
    <w:rsid w:val="00962924"/>
    <w:rsid w:val="009E6135"/>
    <w:rsid w:val="00AD24D9"/>
    <w:rsid w:val="00B0596B"/>
    <w:rsid w:val="00C04885"/>
    <w:rsid w:val="00CA54AF"/>
    <w:rsid w:val="00D82CE1"/>
    <w:rsid w:val="00E05917"/>
    <w:rsid w:val="00EA3E11"/>
    <w:rsid w:val="00ED6445"/>
    <w:rsid w:val="00EE5F27"/>
    <w:rsid w:val="00F211FB"/>
    <w:rsid w:val="00F56F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F6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6"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jc w:val="both"/>
      <w:textAlignment w:val="baseline"/>
    </w:pPr>
    <w:rPr>
      <w:rFonts w:ascii="Calibri" w:eastAsia="Times New Roman" w:hAnsi="Calibri" w:cs="Arial"/>
    </w:rPr>
  </w:style>
  <w:style w:type="paragraph" w:styleId="Heading1">
    <w:name w:val="heading 1"/>
    <w:aliases w:val="h1,A MAJOR/BOLD,Schedheading,Heading 1(Report Only),h1 chapter heading,Section Heading,H1,Attribute Heading 1,Roman 14 B Heading,Roman 14 B Heading1,Roman 14 B Heading2,Roman 14 B Heading11,new page/chapter,1st level,(Alt+1),Part,2,1,o,section"/>
    <w:basedOn w:val="Normal"/>
    <w:next w:val="Normal"/>
    <w:link w:val="Heading1Char"/>
    <w:uiPriority w:val="1"/>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KJL:1st Level,Numbered - 2,h2,1.1.1 heading,Reset numbering,PARA2,S Heading,S Heading 2,PA Major Section,Major heading,h 3,Heading Two,(1.1,1.2,1.3 etc),Prophead 2,RFP Heading 2,Activity,l2,H2,Major,Project 2,RFS 2,Heading 2 Number,Heading 2a"/>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KJL:2nd Level,H3,h3,3,Numbered - 3,HeadC,Level 1 - 1,Minor1,Para Heading 3,Para Heading 31,h31,Minor,H31,H32,H33,H311,(Alt+3),h32,h311,h33,h312,h34,h313,h35,h314,h36,h315,h37,h316,h38,h317,h39,h318,h310,h319,h3110,h320,h3111,h321,h331,h3121,3m"/>
    <w:basedOn w:val="Normal"/>
    <w:next w:val="Normal"/>
    <w:link w:val="Heading3Char"/>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n,h4,h4 sub sub heading,D Sub-Sub/Plain,Level 2 - (a),Level 2 - a,GPH Heading 4,Schedules,Second Level Heading HM,Subhead C,Sub-Minor,H4,dash,4,14,l4,141,h41,l41,41,142,h42,l42,h43,a.,Map Title,42,parapoint,¶,143,h44,l43,43,1411,h411,l411,411"/>
    <w:basedOn w:val="Normal"/>
    <w:next w:val="Normal"/>
    <w:link w:val="Heading4Char"/>
    <w:uiPriority w:val="6"/>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Heading 5(unused),Level 3 - (i),Third Level Heading,h5,Response Type,Response Type1,Response Type2,Response Type3,Response Type4,Response Type5,Response Type6,Response Type7,Appendix A to X,Heading 5   Appendix A to X,H5,Subheading,l5"/>
    <w:basedOn w:val="Normal"/>
    <w:link w:val="Heading5Char"/>
    <w:unhideWhenUsed/>
    <w:qFormat/>
    <w:pPr>
      <w:tabs>
        <w:tab w:val="num" w:pos="4320"/>
      </w:tabs>
      <w:overflowPunct/>
      <w:autoSpaceDE/>
      <w:autoSpaceDN/>
      <w:adjustRightInd/>
      <w:ind w:left="4320" w:hanging="720"/>
      <w:textAlignment w:val="auto"/>
      <w:outlineLvl w:val="4"/>
    </w:pPr>
    <w:rPr>
      <w:rFonts w:ascii="Times New Roman" w:eastAsiaTheme="minorHAnsi" w:hAnsi="Times New Roman" w:cs="Times New Roman"/>
      <w:lang w:eastAsia="zh-CN"/>
    </w:rPr>
  </w:style>
  <w:style w:type="paragraph" w:styleId="Heading6">
    <w:name w:val="heading 6"/>
    <w:aliases w:val="Legal Level 1.,Lev 6,Heading 6  Appendix Y &amp; Z,Heading 6(unused),L1 PIP,h6,H6,H61,H62,H63,H64,H65,H66,H67,H68,H69,H610,H611,H612,H613,H614,H615,H616,H617,H618,H619,H621,H631,H641,H651,H661,H671,H681,H691,H6101,H6111,H6121,H6131,H6141,H6151,PR1"/>
    <w:basedOn w:val="Normal"/>
    <w:link w:val="Heading6Char"/>
    <w:unhideWhenUsed/>
    <w:qFormat/>
    <w:pPr>
      <w:tabs>
        <w:tab w:val="num" w:pos="4320"/>
      </w:tabs>
      <w:overflowPunct/>
      <w:autoSpaceDE/>
      <w:autoSpaceDN/>
      <w:adjustRightInd/>
      <w:spacing w:line="360" w:lineRule="auto"/>
      <w:ind w:left="4320" w:hanging="720"/>
      <w:textAlignment w:val="auto"/>
      <w:outlineLvl w:val="5"/>
    </w:pPr>
    <w:rPr>
      <w:rFonts w:ascii="Times New Roman" w:eastAsiaTheme="minorHAnsi" w:hAnsi="Times New Roman" w:cs="Times New Roman"/>
      <w:lang w:eastAsia="zh-CN"/>
    </w:rPr>
  </w:style>
  <w:style w:type="paragraph" w:styleId="Heading7">
    <w:name w:val="heading 7"/>
    <w:aliases w:val="Legal Level 1.1.,Lev 7,Heading 7(unused),L2 PIP,H7DO NOT USE,PA Appendix Major,Blank 3,Heading 7 (Do Not Use)"/>
    <w:basedOn w:val="Normal"/>
    <w:link w:val="Heading7Char"/>
    <w:unhideWhenUsed/>
    <w:qFormat/>
    <w:pPr>
      <w:tabs>
        <w:tab w:val="num" w:pos="5040"/>
      </w:tabs>
      <w:overflowPunct/>
      <w:autoSpaceDE/>
      <w:autoSpaceDN/>
      <w:adjustRightInd/>
      <w:spacing w:line="360" w:lineRule="auto"/>
      <w:ind w:left="5040" w:hanging="720"/>
      <w:textAlignment w:val="auto"/>
      <w:outlineLvl w:val="6"/>
    </w:pPr>
    <w:rPr>
      <w:rFonts w:ascii="Times New Roman" w:eastAsiaTheme="minorHAnsi" w:hAnsi="Times New Roman" w:cs="Times New Roman"/>
      <w:lang w:eastAsia="zh-CN"/>
    </w:rPr>
  </w:style>
  <w:style w:type="paragraph" w:styleId="Heading8">
    <w:name w:val="heading 8"/>
    <w:aliases w:val="Heading 8 (Do Not Use),Legal Level 1.1.1.,Lev 8,h8 DO NOT USE,PA Appendix Minor"/>
    <w:basedOn w:val="Normal"/>
    <w:link w:val="Heading8Char"/>
    <w:qFormat/>
    <w:pPr>
      <w:tabs>
        <w:tab w:val="num" w:pos="5040"/>
      </w:tabs>
      <w:overflowPunct/>
      <w:autoSpaceDE/>
      <w:autoSpaceDN/>
      <w:ind w:left="5040" w:hanging="720"/>
      <w:textAlignment w:val="auto"/>
      <w:outlineLvl w:val="7"/>
    </w:pPr>
    <w:rPr>
      <w:rFonts w:ascii="Arial" w:eastAsia="STZhongsong" w:hAnsi="Arial" w:cs="Times New Roman"/>
      <w:szCs w:val="20"/>
      <w:lang w:eastAsia="zh-CN"/>
    </w:rPr>
  </w:style>
  <w:style w:type="paragraph" w:styleId="Heading9">
    <w:name w:val="heading 9"/>
    <w:aliases w:val="Heading 9 (Do Not Use),Heading 9 (defunct),Legal Level 1.1.1.1.,Lev 9,h9 DO NOT USE,App Heading,Titre 10,App1"/>
    <w:basedOn w:val="Normal"/>
    <w:link w:val="Heading9Char"/>
    <w:qFormat/>
    <w:pPr>
      <w:tabs>
        <w:tab w:val="num" w:pos="5040"/>
      </w:tabs>
      <w:overflowPunct/>
      <w:autoSpaceDE/>
      <w:autoSpaceDN/>
      <w:ind w:left="5040" w:hanging="720"/>
      <w:textAlignment w:val="auto"/>
      <w:outlineLvl w:val="8"/>
    </w:pPr>
    <w:rPr>
      <w:rFonts w:ascii="Arial" w:eastAsia="STZhongsong" w:hAnsi="Arial" w:cs="Times New Roman"/>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MarginText">
    <w:name w:val="Margin Text"/>
    <w:basedOn w:val="Normal"/>
    <w:link w:val="MarginTextChar"/>
    <w:pPr>
      <w:keepNext/>
      <w:overflowPunct/>
      <w:autoSpaceDE/>
      <w:autoSpaceDN/>
      <w:spacing w:before="240" w:after="120"/>
      <w:ind w:left="142"/>
      <w:textAlignment w:val="auto"/>
    </w:pPr>
    <w:rPr>
      <w:rFonts w:eastAsia="STZhongsong" w:cs="Times New Roman"/>
      <w:szCs w:val="18"/>
      <w:lang w:eastAsia="zh-CN"/>
    </w:rPr>
  </w:style>
  <w:style w:type="character" w:customStyle="1" w:styleId="MarginTextChar">
    <w:name w:val="Margin Text Char"/>
    <w:link w:val="MarginText"/>
    <w:locked/>
    <w:rPr>
      <w:rFonts w:ascii="Calibri" w:eastAsia="STZhongsong" w:hAnsi="Calibri" w:cs="Times New Roman"/>
      <w:szCs w:val="18"/>
      <w:lang w:eastAsia="zh-CN"/>
    </w:rPr>
  </w:style>
  <w:style w:type="paragraph" w:customStyle="1" w:styleId="GPSL1Guidance">
    <w:name w:val="GPS L1 Guidance"/>
    <w:basedOn w:val="Normal"/>
    <w:link w:val="GPSL1GuidanceChar"/>
    <w:qFormat/>
    <w:pPr>
      <w:spacing w:before="240" w:after="120"/>
      <w:ind w:left="426"/>
    </w:pPr>
    <w:rPr>
      <w:b/>
      <w:i/>
    </w:rPr>
  </w:style>
  <w:style w:type="paragraph" w:customStyle="1" w:styleId="GPSmacrorestart">
    <w:name w:val="GPS macro restart"/>
    <w:basedOn w:val="Normal"/>
    <w:qFormat/>
    <w:pPr>
      <w:spacing w:after="0"/>
    </w:pPr>
    <w:rPr>
      <w:color w:val="FFFFFF"/>
      <w:sz w:val="16"/>
      <w:szCs w:val="16"/>
    </w:rPr>
  </w:style>
  <w:style w:type="paragraph" w:customStyle="1" w:styleId="TableNormal1">
    <w:name w:val="Table Normal1"/>
    <w:basedOn w:val="Normal"/>
    <w:qFormat/>
    <w:pPr>
      <w:spacing w:after="120"/>
      <w:ind w:left="34"/>
    </w:pPr>
  </w:style>
  <w:style w:type="paragraph" w:customStyle="1" w:styleId="TSOLScheduleNormalLeft">
    <w:name w:val="TSOL Schedule Normal Left"/>
    <w:basedOn w:val="Normal"/>
    <w:qFormat/>
    <w:pPr>
      <w:ind w:left="142"/>
    </w:pPr>
  </w:style>
  <w:style w:type="character" w:customStyle="1" w:styleId="GPSL1GuidanceChar">
    <w:name w:val="GPS L1 Guidance Char"/>
    <w:link w:val="GPSL1Guidance"/>
    <w:locked/>
    <w:rPr>
      <w:rFonts w:ascii="Calibri" w:eastAsia="Times New Roman" w:hAnsi="Calibri" w:cs="Arial"/>
      <w:b/>
      <w:i/>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Times New Roman" w:hAnsi="Calibri" w:cs="Arial"/>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pPr>
      <w:widowControl w:val="0"/>
      <w:spacing w:after="80" w:line="240" w:lineRule="auto"/>
    </w:pPr>
    <w:rPr>
      <w:rFonts w:ascii="Calibri" w:eastAsia="Calibri" w:hAnsi="Calibri" w:cs="Calibri"/>
      <w:color w:val="000000"/>
    </w:rPr>
  </w:style>
  <w:style w:type="paragraph" w:customStyle="1" w:styleId="GPSL1CLAUSEHEADING">
    <w:name w:val="GPS L1 CLAUSE HEADING"/>
    <w:basedOn w:val="Normal"/>
    <w:next w:val="Normal"/>
    <w:link w:val="GPSL1CLAUSEHEADINGChar"/>
    <w:qFormat/>
    <w:pPr>
      <w:numPr>
        <w:numId w:val="4"/>
      </w:numPr>
      <w:tabs>
        <w:tab w:val="left" w:pos="0"/>
      </w:tabs>
      <w:overflowPunct/>
      <w:autoSpaceDE/>
      <w:autoSpaceDN/>
      <w:spacing w:before="240"/>
      <w:textAlignment w:val="auto"/>
      <w:outlineLvl w:val="1"/>
    </w:pPr>
    <w:rPr>
      <w:rFonts w:asciiTheme="minorHAnsi" w:eastAsia="STZhongsong" w:hAnsiTheme="minorHAnsi"/>
      <w:b/>
      <w:caps/>
      <w:lang w:eastAsia="zh-CN"/>
    </w:rPr>
  </w:style>
  <w:style w:type="character" w:customStyle="1" w:styleId="GPSL1CLAUSEHEADINGChar">
    <w:name w:val="GPS L1 CLAUSE HEADING Char"/>
    <w:link w:val="GPSL1CLAUSEHEADING"/>
    <w:rPr>
      <w:rFonts w:eastAsia="STZhongsong" w:cs="Arial"/>
      <w:b/>
      <w:caps/>
      <w:lang w:eastAsia="zh-CN"/>
    </w:rPr>
  </w:style>
  <w:style w:type="paragraph" w:customStyle="1" w:styleId="GPSL2numberedclause">
    <w:name w:val="GPS L2 numbered clause"/>
    <w:basedOn w:val="Normal"/>
    <w:link w:val="GPSL2numberedclauseChar1"/>
    <w:qFormat/>
    <w:pPr>
      <w:tabs>
        <w:tab w:val="left" w:pos="1134"/>
      </w:tabs>
      <w:overflowPunct/>
      <w:autoSpaceDE/>
      <w:autoSpaceDN/>
      <w:spacing w:before="120" w:after="120"/>
      <w:textAlignment w:val="auto"/>
    </w:pPr>
    <w:rPr>
      <w:lang w:eastAsia="zh-CN"/>
    </w:rPr>
  </w:style>
  <w:style w:type="paragraph" w:customStyle="1" w:styleId="GPSL3numberedclause">
    <w:name w:val="GPS L3 numbered clause"/>
    <w:basedOn w:val="GPSL2numberedclause"/>
    <w:link w:val="GPSL3numberedclauseChar"/>
    <w:qFormat/>
    <w:pPr>
      <w:numPr>
        <w:ilvl w:val="2"/>
        <w:numId w:val="4"/>
      </w:numPr>
      <w:tabs>
        <w:tab w:val="clear" w:pos="1134"/>
        <w:tab w:val="left" w:pos="1985"/>
        <w:tab w:val="left" w:pos="2127"/>
      </w:tabs>
    </w:pPr>
  </w:style>
  <w:style w:type="paragraph" w:customStyle="1" w:styleId="GPSL4numberedclause">
    <w:name w:val="GPS L4 numbered clause"/>
    <w:basedOn w:val="GPSL3numberedclause"/>
    <w:link w:val="GPSL4numberedclauseChar"/>
    <w:qFormat/>
    <w:pPr>
      <w:numPr>
        <w:ilvl w:val="3"/>
      </w:numPr>
      <w:tabs>
        <w:tab w:val="clear" w:pos="1985"/>
        <w:tab w:val="clear" w:pos="2127"/>
      </w:tabs>
    </w:pPr>
    <w:rPr>
      <w:szCs w:val="20"/>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3numberedclauseChar">
    <w:name w:val="GPS L3 numbered clause Char"/>
    <w:link w:val="GPSL3numberedclause"/>
    <w:rPr>
      <w:rFonts w:ascii="Calibri" w:eastAsia="Times New Roman" w:hAnsi="Calibri" w:cs="Arial"/>
      <w:lang w:eastAsia="zh-CN"/>
    </w:rPr>
  </w:style>
  <w:style w:type="character" w:customStyle="1" w:styleId="GPSL4numberedclauseChar">
    <w:name w:val="GPS L4 numbered clause Char"/>
    <w:link w:val="GPSL4numberedclause"/>
    <w:rPr>
      <w:rFonts w:ascii="Calibri" w:eastAsia="Times New Roman" w:hAnsi="Calibri" w:cs="Arial"/>
      <w:szCs w:val="20"/>
      <w:lang w:eastAsia="zh-CN"/>
    </w:rPr>
  </w:style>
  <w:style w:type="paragraph" w:customStyle="1" w:styleId="GPSL5numberedclause">
    <w:name w:val="GPS L5 numbered clause"/>
    <w:basedOn w:val="GPSL4numberedclause"/>
    <w:link w:val="GPSL5numberedclauseChar"/>
    <w:qFormat/>
    <w:pPr>
      <w:numPr>
        <w:ilvl w:val="4"/>
      </w:numPr>
    </w:pPr>
  </w:style>
  <w:style w:type="character" w:customStyle="1" w:styleId="GPSL5numberedclauseChar">
    <w:name w:val="GPS L5 numbered clause Char"/>
    <w:link w:val="GPSL5numberedclause"/>
    <w:rPr>
      <w:rFonts w:ascii="Calibri" w:eastAsia="Times New Roman" w:hAnsi="Calibri" w:cs="Arial"/>
      <w:szCs w:val="20"/>
      <w:lang w:eastAsia="zh-CN"/>
    </w:rPr>
  </w:style>
  <w:style w:type="paragraph" w:customStyle="1" w:styleId="GPSL6numbered">
    <w:name w:val="GPS L6 numbered"/>
    <w:basedOn w:val="GPSL5numberedclause"/>
    <w:qFormat/>
    <w:pPr>
      <w:numPr>
        <w:ilvl w:val="5"/>
      </w:numPr>
      <w:tabs>
        <w:tab w:val="num" w:pos="360"/>
        <w:tab w:val="left" w:pos="4253"/>
      </w:tabs>
    </w:pPr>
  </w:style>
  <w:style w:type="character" w:customStyle="1" w:styleId="Heading1Char">
    <w:name w:val="Heading 1 Char"/>
    <w:aliases w:val="h1 Char,A MAJOR/BOLD Char,Schedheading Char,Heading 1(Report Only) Char,h1 chapter heading Char,Section Heading Char,H1 Char,Attribute Heading 1 Char,Roman 14 B Heading Char,Roman 14 B Heading1 Char,Roman 14 B Heading2 Char,1st level Char"/>
    <w:basedOn w:val="DefaultParagraphFont"/>
    <w:link w:val="Heading1"/>
    <w:uiPriority w:val="1"/>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nhideWhenUsed/>
    <w:pPr>
      <w:spacing w:after="120"/>
      <w:ind w:left="283"/>
    </w:pPr>
  </w:style>
  <w:style w:type="character" w:customStyle="1" w:styleId="BodyTextIndentChar">
    <w:name w:val="Body Text Indent Char"/>
    <w:basedOn w:val="DefaultParagraphFont"/>
    <w:link w:val="BodyTextIndent"/>
    <w:rPr>
      <w:rFonts w:ascii="Calibri" w:eastAsia="Times New Roman" w:hAnsi="Calibri" w:cs="Arial"/>
    </w:rPr>
  </w:style>
  <w:style w:type="paragraph" w:customStyle="1" w:styleId="GPSL1SCHEDULEHeading">
    <w:name w:val="GPS L1 SCHEDULE Heading"/>
    <w:basedOn w:val="GPSL1CLAUSEHEADING"/>
    <w:link w:val="GPSL1SCHEDULEHeadingChar"/>
    <w:qFormat/>
    <w:pPr>
      <w:numPr>
        <w:numId w:val="0"/>
      </w:numPr>
      <w:tabs>
        <w:tab w:val="clear" w:pos="0"/>
        <w:tab w:val="left" w:pos="142"/>
      </w:tabs>
      <w:spacing w:before="120"/>
      <w:outlineLvl w:val="9"/>
    </w:pPr>
    <w:rPr>
      <w:rFonts w:ascii="Calibri" w:hAnsi="Calibri"/>
    </w:rPr>
  </w:style>
  <w:style w:type="character" w:customStyle="1" w:styleId="GPSL1SCHEDULEHeadingChar">
    <w:name w:val="GPS L1 SCHEDULE Heading Char"/>
    <w:link w:val="GPSL1SCHEDULEHeading"/>
    <w:locked/>
    <w:rPr>
      <w:rFonts w:ascii="Calibri" w:eastAsia="STZhongsong" w:hAnsi="Calibri" w:cs="Arial"/>
      <w:b/>
      <w:caps/>
      <w:lang w:eastAsia="zh-CN"/>
    </w:rPr>
  </w:style>
  <w:style w:type="paragraph" w:customStyle="1" w:styleId="GPSL2Numbered">
    <w:name w:val="GPS L2 Numbered"/>
    <w:basedOn w:val="Normal"/>
    <w:link w:val="GPSL2NumberedChar"/>
    <w:qFormat/>
    <w:pPr>
      <w:numPr>
        <w:ilvl w:val="1"/>
        <w:numId w:val="4"/>
      </w:numPr>
      <w:overflowPunct/>
      <w:autoSpaceDE/>
      <w:autoSpaceDN/>
      <w:spacing w:before="120" w:after="120"/>
      <w:textAlignment w:val="auto"/>
    </w:pPr>
    <w:rPr>
      <w:lang w:eastAsia="zh-CN"/>
    </w:rPr>
  </w:style>
  <w:style w:type="character" w:customStyle="1" w:styleId="GPSL2NumberedChar">
    <w:name w:val="GPS L2 Numbered Char"/>
    <w:link w:val="GPSL2Numbered"/>
    <w:locked/>
    <w:rPr>
      <w:rFonts w:ascii="Calibri" w:eastAsia="Times New Roman" w:hAnsi="Calibri" w:cs="Arial"/>
      <w:lang w:eastAsia="zh-CN"/>
    </w:rPr>
  </w:style>
  <w:style w:type="paragraph" w:customStyle="1" w:styleId="GPSL2NumberedBoldHeading">
    <w:name w:val="GPS L2 Numbered Bold Heading"/>
    <w:basedOn w:val="Normal"/>
  </w:style>
  <w:style w:type="paragraph" w:styleId="BodyTextIndent2">
    <w:name w:val="Body Text Indent 2"/>
    <w:basedOn w:val="Normal"/>
    <w:link w:val="BodyTextIndent2Char"/>
    <w:unhideWhenUsed/>
    <w:pPr>
      <w:spacing w:after="120" w:line="480" w:lineRule="auto"/>
      <w:ind w:left="283"/>
    </w:pPr>
  </w:style>
  <w:style w:type="character" w:customStyle="1" w:styleId="BodyTextIndent2Char">
    <w:name w:val="Body Text Indent 2 Char"/>
    <w:basedOn w:val="DefaultParagraphFont"/>
    <w:link w:val="BodyTextIndent2"/>
    <w:uiPriority w:val="99"/>
    <w:rPr>
      <w:rFonts w:ascii="Calibri" w:eastAsia="Times New Roman" w:hAnsi="Calibri" w:cs="Arial"/>
    </w:rPr>
  </w:style>
  <w:style w:type="character" w:customStyle="1" w:styleId="Heading2Char">
    <w:name w:val="Heading 2 Char"/>
    <w:aliases w:val="KJL:1st Level Char,Numbered - 2 Char,h2 Char,1.1.1 heading Char,Reset numbering Char,PARA2 Char,S Heading Char,S Heading 2 Char,PA Major Section Char,Major heading Char,h 3 Char,Heading Two Char,(1.1 Char,1.2 Char,1.3 etc) Char,l2 Char"/>
    <w:basedOn w:val="DefaultParagraphFont"/>
    <w:link w:val="Heading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pPr>
      <w:spacing w:after="0" w:line="240" w:lineRule="auto"/>
    </w:pPr>
    <w:rPr>
      <w:rFonts w:ascii="Calibri" w:eastAsia="Times New Roman" w:hAnsi="Calibri" w:cs="Arial"/>
    </w:rPr>
  </w:style>
  <w:style w:type="character" w:customStyle="1" w:styleId="Heading3Char">
    <w:name w:val="Heading 3 Char"/>
    <w:aliases w:val="KJL:2nd Level Char,H3 Char,h3 Char,3 Char,Numbered - 3 Char,HeadC Char,Level 1 - 1 Char,Minor1 Char,Para Heading 3 Char,Para Heading 31 Char,h31 Char,Minor Char,H31 Char,H32 Char,H33 Char,H311 Char,(Alt+3) Char,h32 Char,h311 Char,h33 Char"/>
    <w:basedOn w:val="DefaultParagraphFont"/>
    <w:link w:val="Heading3"/>
    <w:rPr>
      <w:rFonts w:asciiTheme="majorHAnsi" w:eastAsiaTheme="majorEastAsia" w:hAnsiTheme="majorHAnsi" w:cstheme="majorBidi"/>
      <w:b/>
      <w:bCs/>
      <w:color w:val="4F81BD" w:themeColor="accent1"/>
    </w:rPr>
  </w:style>
  <w:style w:type="character" w:customStyle="1" w:styleId="Heading4Char">
    <w:name w:val="Heading 4 Char"/>
    <w:aliases w:val="n Char,h4 Char,h4 sub sub heading Char,D Sub-Sub/Plain Char,Level 2 - (a) Char,Level 2 - a Char,GPH Heading 4 Char,Schedules Char,Second Level Heading HM Char,Subhead C Char,Sub-Minor Char,H4 Char,dash Char,4 Char,14 Char,l4 Char,141 Char"/>
    <w:basedOn w:val="DefaultParagraphFont"/>
    <w:link w:val="Heading4"/>
    <w:uiPriority w:val="6"/>
    <w:rPr>
      <w:rFonts w:asciiTheme="majorHAnsi" w:eastAsiaTheme="majorEastAsia" w:hAnsiTheme="majorHAnsi" w:cstheme="majorBidi"/>
      <w:b/>
      <w:bCs/>
      <w:i/>
      <w:iCs/>
      <w:color w:val="4F81BD" w:themeColor="accent1"/>
    </w:rPr>
  </w:style>
  <w:style w:type="character" w:customStyle="1" w:styleId="Heading5Char">
    <w:name w:val="Heading 5 Char"/>
    <w:aliases w:val="Heading Char,Heading 5(unused) Char,Level 3 - (i) Char,Third Level Heading Char,h5 Char,Response Type Char,Response Type1 Char,Response Type2 Char,Response Type3 Char,Response Type4 Char,Response Type5 Char,Response Type6 Char,H5 Char"/>
    <w:basedOn w:val="DefaultParagraphFont"/>
    <w:link w:val="Heading5"/>
    <w:rPr>
      <w:rFonts w:ascii="Times New Roman" w:hAnsi="Times New Roman" w:cs="Times New Roman"/>
      <w:lang w:eastAsia="zh-CN"/>
    </w:rPr>
  </w:style>
  <w:style w:type="character" w:customStyle="1" w:styleId="Heading6Char">
    <w:name w:val="Heading 6 Char"/>
    <w:aliases w:val="Legal Level 1. Char,Lev 6 Char,Heading 6  Appendix Y &amp; Z Char,Heading 6(unused) Char,L1 PIP Char,h6 Char,H6 Char,H61 Char,H62 Char,H63 Char,H64 Char,H65 Char,H66 Char,H67 Char,H68 Char,H69 Char,H610 Char,H611 Char,H612 Char,H613 Char"/>
    <w:basedOn w:val="DefaultParagraphFont"/>
    <w:link w:val="Heading6"/>
    <w:rPr>
      <w:rFonts w:ascii="Times New Roman" w:hAnsi="Times New Roman" w:cs="Times New Roman"/>
      <w:lang w:eastAsia="zh-CN"/>
    </w:rPr>
  </w:style>
  <w:style w:type="character" w:customStyle="1" w:styleId="Heading7Char">
    <w:name w:val="Heading 7 Char"/>
    <w:aliases w:val="Legal Level 1.1. Char,Lev 7 Char,Heading 7(unused) Char,L2 PIP Char,H7DO NOT USE Char,PA Appendix Major Char,Blank 3 Char,Heading 7 (Do Not Use) Char"/>
    <w:basedOn w:val="DefaultParagraphFont"/>
    <w:link w:val="Heading7"/>
    <w:uiPriority w:val="9"/>
    <w:semiHidden/>
    <w:rPr>
      <w:rFonts w:ascii="Times New Roman" w:hAnsi="Times New Roman" w:cs="Times New Roman"/>
      <w:lang w:eastAsia="zh-CN"/>
    </w:rPr>
  </w:style>
  <w:style w:type="character" w:customStyle="1" w:styleId="Heading8Char">
    <w:name w:val="Heading 8 Char"/>
    <w:aliases w:val="Heading 8 (Do Not Use) Char,Legal Level 1.1.1. Char,Lev 8 Char,h8 DO NOT USE Char,PA Appendix Minor Char"/>
    <w:basedOn w:val="DefaultParagraphFont"/>
    <w:link w:val="Heading8"/>
    <w:rPr>
      <w:rFonts w:ascii="Arial" w:eastAsia="STZhongsong" w:hAnsi="Arial" w:cs="Times New Roman"/>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rPr>
      <w:rFonts w:ascii="Arial" w:eastAsia="STZhongsong" w:hAnsi="Arial" w:cs="Times New Roman"/>
      <w:szCs w:val="20"/>
      <w:lang w:eastAsia="zh-CN"/>
    </w:rPr>
  </w:style>
  <w:style w:type="paragraph" w:customStyle="1" w:styleId="DefinitionNumbering1">
    <w:name w:val="Definition Numbering 1"/>
    <w:basedOn w:val="Normal"/>
    <w:pPr>
      <w:tabs>
        <w:tab w:val="num" w:pos="360"/>
      </w:tabs>
      <w:overflowPunct/>
      <w:autoSpaceDE/>
      <w:autoSpaceDN/>
      <w:spacing w:after="120"/>
      <w:ind w:left="360" w:hanging="720"/>
      <w:textAlignment w:val="auto"/>
      <w:outlineLvl w:val="0"/>
    </w:pPr>
    <w:rPr>
      <w:rFonts w:eastAsia="STZhongsong" w:cs="Times New Roman"/>
      <w:szCs w:val="20"/>
      <w:lang w:eastAsia="zh-CN"/>
    </w:rPr>
  </w:style>
  <w:style w:type="paragraph" w:customStyle="1" w:styleId="DefinitionNumbering2">
    <w:name w:val="Definition Numbering 2"/>
    <w:basedOn w:val="Normal"/>
    <w:pPr>
      <w:tabs>
        <w:tab w:val="num" w:pos="2520"/>
      </w:tabs>
      <w:overflowPunct/>
      <w:autoSpaceDE/>
      <w:autoSpaceDN/>
      <w:ind w:left="2520" w:hanging="1080"/>
      <w:textAlignment w:val="auto"/>
      <w:outlineLvl w:val="1"/>
    </w:pPr>
    <w:rPr>
      <w:rFonts w:ascii="Times New Roman" w:eastAsia="STZhongsong" w:hAnsi="Times New Roman" w:cs="Times New Roman"/>
      <w:szCs w:val="20"/>
      <w:lang w:eastAsia="zh-CN"/>
    </w:rPr>
  </w:style>
  <w:style w:type="paragraph" w:customStyle="1" w:styleId="DefinitionNumbering3">
    <w:name w:val="Definition Numbering 3"/>
    <w:basedOn w:val="Normal"/>
    <w:pPr>
      <w:tabs>
        <w:tab w:val="num" w:pos="3240"/>
      </w:tabs>
      <w:overflowPunct/>
      <w:autoSpaceDE/>
      <w:autoSpaceDN/>
      <w:ind w:left="3240" w:hanging="720"/>
      <w:textAlignment w:val="auto"/>
      <w:outlineLvl w:val="2"/>
    </w:pPr>
    <w:rPr>
      <w:rFonts w:ascii="Times New Roman" w:eastAsia="STZhongsong" w:hAnsi="Times New Roman" w:cs="Times New Roman"/>
      <w:szCs w:val="20"/>
      <w:lang w:eastAsia="zh-CN"/>
    </w:rPr>
  </w:style>
  <w:style w:type="paragraph" w:customStyle="1" w:styleId="DefinitionNumbering4">
    <w:name w:val="Definition Numbering 4"/>
    <w:basedOn w:val="Normal"/>
    <w:pPr>
      <w:tabs>
        <w:tab w:val="num" w:pos="2520"/>
      </w:tabs>
      <w:overflowPunct/>
      <w:autoSpaceDE/>
      <w:autoSpaceDN/>
      <w:ind w:left="2520" w:hanging="1080"/>
      <w:textAlignment w:val="auto"/>
      <w:outlineLvl w:val="3"/>
    </w:pPr>
    <w:rPr>
      <w:rFonts w:ascii="Times New Roman" w:eastAsia="STZhongsong" w:hAnsi="Times New Roman" w:cs="Times New Roman"/>
      <w:szCs w:val="20"/>
      <w:lang w:eastAsia="zh-CN"/>
    </w:rPr>
  </w:style>
  <w:style w:type="paragraph" w:customStyle="1" w:styleId="DefinitionNumbering5">
    <w:name w:val="Definition Numbering 5"/>
    <w:basedOn w:val="Normal"/>
    <w:pPr>
      <w:tabs>
        <w:tab w:val="num" w:pos="2520"/>
      </w:tabs>
      <w:overflowPunct/>
      <w:autoSpaceDE/>
      <w:autoSpaceDN/>
      <w:ind w:left="2520" w:hanging="1080"/>
      <w:textAlignment w:val="auto"/>
      <w:outlineLvl w:val="4"/>
    </w:pPr>
    <w:rPr>
      <w:rFonts w:ascii="Times New Roman" w:eastAsia="STZhongsong" w:hAnsi="Times New Roman" w:cs="Times New Roman"/>
      <w:szCs w:val="20"/>
      <w:lang w:eastAsia="zh-CN"/>
    </w:rPr>
  </w:style>
  <w:style w:type="paragraph" w:customStyle="1" w:styleId="DefinitionNumbering6">
    <w:name w:val="Definition Numbering 6"/>
    <w:basedOn w:val="Normal"/>
    <w:pPr>
      <w:tabs>
        <w:tab w:val="num" w:pos="2520"/>
      </w:tabs>
      <w:overflowPunct/>
      <w:autoSpaceDE/>
      <w:autoSpaceDN/>
      <w:ind w:left="2520" w:hanging="1080"/>
      <w:textAlignment w:val="auto"/>
      <w:outlineLvl w:val="5"/>
    </w:pPr>
    <w:rPr>
      <w:rFonts w:ascii="Times New Roman" w:eastAsia="STZhongsong" w:hAnsi="Times New Roman" w:cs="Times New Roman"/>
      <w:szCs w:val="20"/>
      <w:lang w:eastAsia="zh-CN"/>
    </w:rPr>
  </w:style>
  <w:style w:type="paragraph" w:customStyle="1" w:styleId="DefinitionNumbering7">
    <w:name w:val="Definition Numbering 7"/>
    <w:basedOn w:val="Normal"/>
    <w:pPr>
      <w:tabs>
        <w:tab w:val="num" w:pos="2520"/>
      </w:tabs>
      <w:overflowPunct/>
      <w:autoSpaceDE/>
      <w:autoSpaceDN/>
      <w:ind w:left="2520" w:hanging="1080"/>
      <w:textAlignment w:val="auto"/>
      <w:outlineLvl w:val="6"/>
    </w:pPr>
    <w:rPr>
      <w:rFonts w:ascii="Times New Roman" w:eastAsia="STZhongsong" w:hAnsi="Times New Roman" w:cs="Times New Roman"/>
      <w:szCs w:val="20"/>
      <w:lang w:eastAsia="zh-CN"/>
    </w:rPr>
  </w:style>
  <w:style w:type="paragraph" w:customStyle="1" w:styleId="GPsDefinition">
    <w:name w:val="GPs Definition"/>
    <w:basedOn w:val="Normal"/>
    <w:uiPriority w:val="99"/>
    <w:qFormat/>
    <w:pPr>
      <w:numPr>
        <w:numId w:val="116"/>
      </w:numPr>
      <w:tabs>
        <w:tab w:val="left" w:pos="-9"/>
      </w:tabs>
      <w:spacing w:after="120"/>
    </w:pPr>
    <w:rPr>
      <w:rFonts w:ascii="Arial" w:hAnsi="Arial"/>
    </w:rPr>
  </w:style>
  <w:style w:type="paragraph" w:customStyle="1" w:styleId="GPSDefinitionL2">
    <w:name w:val="GPS Definition L2"/>
    <w:basedOn w:val="GPsDefinition"/>
    <w:uiPriority w:val="99"/>
    <w:qFormat/>
    <w:pPr>
      <w:numPr>
        <w:ilvl w:val="1"/>
      </w:numPr>
      <w:tabs>
        <w:tab w:val="clear" w:pos="-9"/>
        <w:tab w:val="left" w:pos="144"/>
      </w:tabs>
      <w:ind w:hanging="545"/>
    </w:pPr>
  </w:style>
  <w:style w:type="paragraph" w:customStyle="1" w:styleId="GPSDefinitionL3">
    <w:name w:val="GPS Definition L3"/>
    <w:basedOn w:val="GPSDefinitionL2"/>
    <w:uiPriority w:val="99"/>
    <w:qFormat/>
    <w:pPr>
      <w:numPr>
        <w:ilvl w:val="2"/>
      </w:numPr>
    </w:pPr>
  </w:style>
  <w:style w:type="paragraph" w:customStyle="1" w:styleId="GPSDefinitionL4">
    <w:name w:val="GPS Definition L4"/>
    <w:basedOn w:val="GPSDefinitionL3"/>
    <w:uiPriority w:val="99"/>
    <w:qFormat/>
    <w:pPr>
      <w:numPr>
        <w:ilvl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72620">
      <w:bodyDiv w:val="1"/>
      <w:marLeft w:val="0"/>
      <w:marRight w:val="0"/>
      <w:marTop w:val="0"/>
      <w:marBottom w:val="0"/>
      <w:divBdr>
        <w:top w:val="none" w:sz="0" w:space="0" w:color="auto"/>
        <w:left w:val="none" w:sz="0" w:space="0" w:color="auto"/>
        <w:bottom w:val="none" w:sz="0" w:space="0" w:color="auto"/>
        <w:right w:val="none" w:sz="0" w:space="0" w:color="auto"/>
      </w:divBdr>
    </w:div>
    <w:div w:id="638805912">
      <w:bodyDiv w:val="1"/>
      <w:marLeft w:val="0"/>
      <w:marRight w:val="0"/>
      <w:marTop w:val="0"/>
      <w:marBottom w:val="0"/>
      <w:divBdr>
        <w:top w:val="none" w:sz="0" w:space="0" w:color="auto"/>
        <w:left w:val="none" w:sz="0" w:space="0" w:color="auto"/>
        <w:bottom w:val="none" w:sz="0" w:space="0" w:color="auto"/>
        <w:right w:val="none" w:sz="0" w:space="0" w:color="auto"/>
      </w:divBdr>
    </w:div>
    <w:div w:id="775633812">
      <w:bodyDiv w:val="1"/>
      <w:marLeft w:val="0"/>
      <w:marRight w:val="0"/>
      <w:marTop w:val="0"/>
      <w:marBottom w:val="0"/>
      <w:divBdr>
        <w:top w:val="none" w:sz="0" w:space="0" w:color="auto"/>
        <w:left w:val="none" w:sz="0" w:space="0" w:color="auto"/>
        <w:bottom w:val="none" w:sz="0" w:space="0" w:color="auto"/>
        <w:right w:val="none" w:sz="0" w:space="0" w:color="auto"/>
      </w:divBdr>
    </w:div>
    <w:div w:id="1000082577">
      <w:bodyDiv w:val="1"/>
      <w:marLeft w:val="0"/>
      <w:marRight w:val="0"/>
      <w:marTop w:val="0"/>
      <w:marBottom w:val="0"/>
      <w:divBdr>
        <w:top w:val="none" w:sz="0" w:space="0" w:color="auto"/>
        <w:left w:val="none" w:sz="0" w:space="0" w:color="auto"/>
        <w:bottom w:val="none" w:sz="0" w:space="0" w:color="auto"/>
        <w:right w:val="none" w:sz="0" w:space="0" w:color="auto"/>
      </w:divBdr>
    </w:div>
    <w:div w:id="1024864616">
      <w:bodyDiv w:val="1"/>
      <w:marLeft w:val="0"/>
      <w:marRight w:val="0"/>
      <w:marTop w:val="0"/>
      <w:marBottom w:val="0"/>
      <w:divBdr>
        <w:top w:val="none" w:sz="0" w:space="0" w:color="auto"/>
        <w:left w:val="none" w:sz="0" w:space="0" w:color="auto"/>
        <w:bottom w:val="none" w:sz="0" w:space="0" w:color="auto"/>
        <w:right w:val="none" w:sz="0" w:space="0" w:color="auto"/>
      </w:divBdr>
    </w:div>
    <w:div w:id="1761372672">
      <w:bodyDiv w:val="1"/>
      <w:marLeft w:val="0"/>
      <w:marRight w:val="0"/>
      <w:marTop w:val="0"/>
      <w:marBottom w:val="0"/>
      <w:divBdr>
        <w:top w:val="none" w:sz="0" w:space="0" w:color="auto"/>
        <w:left w:val="none" w:sz="0" w:space="0" w:color="auto"/>
        <w:bottom w:val="none" w:sz="0" w:space="0" w:color="auto"/>
        <w:right w:val="none" w:sz="0" w:space="0" w:color="auto"/>
      </w:divBdr>
    </w:div>
    <w:div w:id="18057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FFE1B-9906-4B44-A8C4-993B880C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2019-10-09T09:25:00Z</dcterms:created>
  <dcterms:modified xsi:type="dcterms:W3CDTF">2019-10-09T09:49:00Z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20 November 2017 D1V9</vt:lpwstr>
  </property>
</Properties>
</file>