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A3022" w14:textId="77777777" w:rsidR="00DF152A" w:rsidRPr="00EA67A7" w:rsidRDefault="00DF152A" w:rsidP="00EA67A7">
      <w:pPr>
        <w:jc w:val="center"/>
        <w:rPr>
          <w:b/>
          <w:caps/>
          <w:szCs w:val="24"/>
        </w:rPr>
      </w:pPr>
      <w:bookmarkStart w:id="0" w:name="_Toc414636350"/>
      <w:bookmarkStart w:id="1" w:name="_Ref313382873"/>
      <w:bookmarkStart w:id="2" w:name="_Toc314810848"/>
      <w:bookmarkStart w:id="3" w:name="_Toc351710921"/>
      <w:bookmarkStart w:id="4" w:name="_Toc358671831"/>
      <w:bookmarkStart w:id="5" w:name="_Ref349135995"/>
      <w:bookmarkStart w:id="6" w:name="_Toc350503092"/>
      <w:bookmarkStart w:id="7" w:name="_Toc350504082"/>
      <w:bookmarkStart w:id="8" w:name="_Toc461012431"/>
      <w:bookmarkStart w:id="9" w:name="_Toc461021237"/>
    </w:p>
    <w:p w14:paraId="7E601544" w14:textId="63D22CEC" w:rsidR="00752F13" w:rsidRPr="009525CD" w:rsidRDefault="00752F13" w:rsidP="00752F13">
      <w:pPr>
        <w:spacing w:before="240" w:line="276" w:lineRule="auto"/>
        <w:jc w:val="center"/>
        <w:rPr>
          <w:b/>
          <w:caps/>
          <w:szCs w:val="24"/>
        </w:rPr>
      </w:pPr>
      <w:r>
        <w:rPr>
          <w:b/>
          <w:caps/>
          <w:szCs w:val="24"/>
        </w:rPr>
        <w:t>Buyer</w:t>
      </w:r>
    </w:p>
    <w:p w14:paraId="471CD6B3" w14:textId="77777777" w:rsidR="00752F13" w:rsidRPr="009525CD" w:rsidRDefault="00752F13" w:rsidP="00752F13">
      <w:pPr>
        <w:spacing w:before="240" w:line="276" w:lineRule="auto"/>
        <w:jc w:val="center"/>
        <w:rPr>
          <w:b/>
          <w:caps/>
          <w:szCs w:val="24"/>
        </w:rPr>
      </w:pPr>
      <w:r w:rsidRPr="009525CD">
        <w:rPr>
          <w:b/>
          <w:caps/>
          <w:szCs w:val="24"/>
        </w:rPr>
        <w:t>AND</w:t>
      </w:r>
    </w:p>
    <w:p w14:paraId="38657AC0" w14:textId="77777777" w:rsidR="00752F13" w:rsidRPr="009525CD" w:rsidRDefault="00752F13" w:rsidP="00752F13">
      <w:pPr>
        <w:spacing w:before="240" w:line="276" w:lineRule="auto"/>
        <w:jc w:val="center"/>
        <w:rPr>
          <w:b/>
          <w:caps/>
          <w:szCs w:val="24"/>
        </w:rPr>
      </w:pPr>
      <w:r w:rsidRPr="009525CD">
        <w:rPr>
          <w:b/>
          <w:caps/>
          <w:szCs w:val="24"/>
        </w:rPr>
        <w:t>SUPPLIER</w:t>
      </w:r>
    </w:p>
    <w:p w14:paraId="2822FCE8" w14:textId="77777777" w:rsidR="00752F13" w:rsidRPr="009525CD" w:rsidRDefault="00752F13" w:rsidP="00752F13">
      <w:pPr>
        <w:spacing w:before="240" w:line="276" w:lineRule="auto"/>
        <w:jc w:val="center"/>
        <w:rPr>
          <w:b/>
          <w:caps/>
          <w:szCs w:val="24"/>
        </w:rPr>
      </w:pPr>
      <w:r w:rsidRPr="009525CD">
        <w:rPr>
          <w:b/>
          <w:caps/>
          <w:szCs w:val="24"/>
        </w:rPr>
        <w:t>FACILITIES MANAGEMENT MARKETPLACE CONTRACT</w:t>
      </w:r>
    </w:p>
    <w:p w14:paraId="614D0BFF" w14:textId="77777777" w:rsidR="00752F13" w:rsidRPr="009525CD" w:rsidRDefault="00752F13" w:rsidP="00752F13">
      <w:pPr>
        <w:spacing w:before="240" w:line="276" w:lineRule="auto"/>
        <w:jc w:val="center"/>
        <w:rPr>
          <w:b/>
          <w:caps/>
          <w:szCs w:val="24"/>
        </w:rPr>
      </w:pPr>
      <w:r w:rsidRPr="009525CD">
        <w:rPr>
          <w:b/>
          <w:caps/>
          <w:szCs w:val="24"/>
        </w:rPr>
        <w:t>REF: RM3830</w:t>
      </w:r>
    </w:p>
    <w:p w14:paraId="11FBA7C6" w14:textId="77777777" w:rsidR="00752F13" w:rsidRDefault="00752F13">
      <w:pPr>
        <w:autoSpaceDE/>
        <w:autoSpaceDN/>
        <w:adjustRightInd/>
        <w:spacing w:after="0"/>
        <w:jc w:val="left"/>
        <w:rPr>
          <w:b/>
        </w:rPr>
      </w:pPr>
    </w:p>
    <w:p w14:paraId="034E54B3" w14:textId="77777777" w:rsidR="00752F13" w:rsidRDefault="00752F13">
      <w:pPr>
        <w:autoSpaceDE/>
        <w:autoSpaceDN/>
        <w:adjustRightInd/>
        <w:spacing w:after="0"/>
        <w:jc w:val="left"/>
        <w:rPr>
          <w:b/>
        </w:rPr>
      </w:pPr>
      <w:r>
        <w:rPr>
          <w:b/>
        </w:rPr>
        <w:br w:type="page"/>
      </w:r>
      <w:bookmarkStart w:id="10" w:name="_GoBack"/>
      <w:bookmarkEnd w:id="10"/>
    </w:p>
    <w:p w14:paraId="7C148B48" w14:textId="11123A2C" w:rsidR="002058A2" w:rsidRDefault="008C7712" w:rsidP="0049783D">
      <w:pPr>
        <w:autoSpaceDE/>
        <w:autoSpaceDN/>
        <w:adjustRightInd/>
        <w:spacing w:after="0"/>
        <w:jc w:val="center"/>
      </w:pPr>
      <w:r w:rsidRPr="0049783D">
        <w:rPr>
          <w:b/>
        </w:rPr>
        <w:lastRenderedPageBreak/>
        <w:t xml:space="preserve">CALL-OFF SCHEDULE </w:t>
      </w:r>
      <w:bookmarkStart w:id="11" w:name="_Toc414636351"/>
      <w:bookmarkEnd w:id="0"/>
      <w:r w:rsidRPr="0049783D">
        <w:rPr>
          <w:b/>
        </w:rPr>
        <w:t>6</w:t>
      </w:r>
    </w:p>
    <w:p w14:paraId="3B303AAC" w14:textId="77777777" w:rsidR="00EA67A7" w:rsidRPr="0049783D" w:rsidRDefault="00EA67A7" w:rsidP="0049783D">
      <w:pPr>
        <w:autoSpaceDE/>
        <w:autoSpaceDN/>
        <w:adjustRightInd/>
        <w:spacing w:after="0"/>
        <w:jc w:val="center"/>
      </w:pPr>
    </w:p>
    <w:p w14:paraId="4447B984" w14:textId="77777777" w:rsidR="002058A2" w:rsidRDefault="008C7712" w:rsidP="00752F13">
      <w:pPr>
        <w:pStyle w:val="GPSSchTitleandNumber"/>
        <w:rPr>
          <w:rFonts w:ascii="Calibri" w:hAnsi="Calibri"/>
          <w:szCs w:val="18"/>
        </w:rPr>
      </w:pPr>
      <w:r>
        <w:rPr>
          <w:rFonts w:ascii="Calibri" w:hAnsi="Calibri"/>
          <w:szCs w:val="18"/>
        </w:rPr>
        <w:t>TUPE SURCHARGE</w:t>
      </w:r>
    </w:p>
    <w:p w14:paraId="0EA4DF6A" w14:textId="77777777" w:rsidR="002058A2" w:rsidRDefault="002058A2">
      <w:pPr>
        <w:pStyle w:val="GPSSchTitleandNumber"/>
        <w:rPr>
          <w:rFonts w:ascii="Calibri" w:hAnsi="Calibri"/>
          <w:szCs w:val="18"/>
        </w:rPr>
      </w:pPr>
    </w:p>
    <w:p w14:paraId="661B8C8B" w14:textId="77777777" w:rsidR="002058A2" w:rsidRDefault="002058A2">
      <w:pPr>
        <w:pStyle w:val="GPSSchTitleandNumber"/>
        <w:rPr>
          <w:rFonts w:ascii="Calibri" w:hAnsi="Calibri"/>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8"/>
        <w:gridCol w:w="4508"/>
      </w:tblGrid>
      <w:tr w:rsidR="002058A2" w:rsidRPr="008C7712" w14:paraId="6FCD0CE1" w14:textId="77777777">
        <w:tc>
          <w:tcPr>
            <w:tcW w:w="9016" w:type="dxa"/>
            <w:gridSpan w:val="2"/>
          </w:tcPr>
          <w:p w14:paraId="49EBA2B0" w14:textId="77777777" w:rsidR="002058A2" w:rsidRDefault="008C7712">
            <w:pPr>
              <w:pStyle w:val="GPSSchTitleandNumber"/>
              <w:ind w:firstLine="0"/>
              <w:jc w:val="both"/>
              <w:rPr>
                <w:rFonts w:ascii="Calibri" w:hAnsi="Calibri"/>
                <w:color w:val="000000"/>
                <w:sz w:val="20"/>
                <w:szCs w:val="18"/>
              </w:rPr>
            </w:pPr>
            <w:r>
              <w:rPr>
                <w:rFonts w:ascii="Calibri" w:hAnsi="Calibri"/>
                <w:color w:val="000000"/>
                <w:sz w:val="20"/>
                <w:szCs w:val="18"/>
              </w:rPr>
              <w:t xml:space="preserve">IN THIS SCHEDULE, THE FOLLOWING WORDS SHALL HAVE THE FOLLOWING MEANINGS AND THEY SHALL SUPPLEMENT </w:t>
            </w:r>
            <w:r>
              <w:rPr>
                <w:rFonts w:ascii="Calibri" w:hAnsi="Calibri"/>
                <w:sz w:val="20"/>
                <w:szCs w:val="18"/>
              </w:rPr>
              <w:t xml:space="preserve">(I) </w:t>
            </w:r>
            <w:r>
              <w:rPr>
                <w:rFonts w:ascii="Calibri" w:hAnsi="Calibri"/>
                <w:color w:val="000000"/>
                <w:sz w:val="20"/>
                <w:szCs w:val="18"/>
              </w:rPr>
              <w:t>JOINT SCHEDULE 1 (DEFINITIONS)</w:t>
            </w:r>
            <w:r>
              <w:rPr>
                <w:rFonts w:ascii="Calibri" w:hAnsi="Calibri"/>
                <w:sz w:val="20"/>
                <w:szCs w:val="18"/>
              </w:rPr>
              <w:t xml:space="preserve"> AND (II) CALL –OFF SCHEDULE 2 (STAFF TRANSFER)</w:t>
            </w:r>
            <w:r>
              <w:rPr>
                <w:rFonts w:ascii="Calibri" w:hAnsi="Calibri"/>
                <w:color w:val="000000"/>
                <w:sz w:val="20"/>
                <w:szCs w:val="18"/>
              </w:rPr>
              <w:t>:</w:t>
            </w:r>
          </w:p>
        </w:tc>
      </w:tr>
      <w:bookmarkEnd w:id="1"/>
      <w:bookmarkEnd w:id="2"/>
      <w:bookmarkEnd w:id="3"/>
      <w:bookmarkEnd w:id="4"/>
      <w:bookmarkEnd w:id="5"/>
      <w:bookmarkEnd w:id="6"/>
      <w:bookmarkEnd w:id="7"/>
      <w:bookmarkEnd w:id="8"/>
      <w:bookmarkEnd w:id="9"/>
      <w:bookmarkEnd w:id="11"/>
      <w:tr w:rsidR="002058A2" w:rsidRPr="008C7712" w14:paraId="2E400393" w14:textId="77777777">
        <w:tc>
          <w:tcPr>
            <w:tcW w:w="4508" w:type="dxa"/>
          </w:tcPr>
          <w:p w14:paraId="287416DD" w14:textId="77777777" w:rsidR="002058A2" w:rsidRDefault="008C7712">
            <w:pPr>
              <w:pStyle w:val="GPSSchTitleandNumber"/>
              <w:ind w:firstLine="0"/>
              <w:jc w:val="both"/>
              <w:rPr>
                <w:rFonts w:ascii="Calibri" w:hAnsi="Calibri"/>
                <w:color w:val="000000"/>
                <w:sz w:val="20"/>
                <w:szCs w:val="18"/>
              </w:rPr>
            </w:pPr>
            <w:r>
              <w:rPr>
                <w:rFonts w:ascii="Calibri" w:hAnsi="Calibri"/>
                <w:color w:val="000000"/>
                <w:sz w:val="20"/>
                <w:szCs w:val="18"/>
              </w:rPr>
              <w:t>DEFINITION</w:t>
            </w:r>
          </w:p>
        </w:tc>
        <w:tc>
          <w:tcPr>
            <w:tcW w:w="4508" w:type="dxa"/>
          </w:tcPr>
          <w:p w14:paraId="089DF155" w14:textId="77777777" w:rsidR="002058A2" w:rsidRDefault="008C7712">
            <w:pPr>
              <w:pStyle w:val="GPSSchTitleandNumber"/>
              <w:ind w:firstLine="0"/>
              <w:jc w:val="both"/>
              <w:rPr>
                <w:rFonts w:ascii="Calibri" w:hAnsi="Calibri"/>
                <w:color w:val="000000"/>
                <w:sz w:val="20"/>
                <w:szCs w:val="18"/>
              </w:rPr>
            </w:pPr>
            <w:r>
              <w:rPr>
                <w:rFonts w:ascii="Calibri" w:hAnsi="Calibri"/>
                <w:color w:val="000000"/>
                <w:sz w:val="20"/>
                <w:szCs w:val="18"/>
              </w:rPr>
              <w:t>MEANING</w:t>
            </w:r>
          </w:p>
        </w:tc>
      </w:tr>
      <w:tr w:rsidR="002058A2" w:rsidRPr="008C7712" w14:paraId="631B4735" w14:textId="77777777">
        <w:tc>
          <w:tcPr>
            <w:tcW w:w="4508" w:type="dxa"/>
            <w:vAlign w:val="center"/>
          </w:tcPr>
          <w:p w14:paraId="68D5F2FF" w14:textId="77777777" w:rsidR="002058A2" w:rsidRPr="008C7712" w:rsidRDefault="008C7712">
            <w:pPr>
              <w:pStyle w:val="GPSDefinitionTerm"/>
              <w:jc w:val="center"/>
              <w:rPr>
                <w:rFonts w:eastAsia="STZhongsong"/>
                <w:color w:val="000000"/>
                <w:sz w:val="20"/>
                <w:szCs w:val="18"/>
              </w:rPr>
            </w:pPr>
            <w:r w:rsidRPr="008C7712">
              <w:rPr>
                <w:rFonts w:eastAsia="STZhongsong"/>
                <w:color w:val="000000"/>
                <w:sz w:val="20"/>
                <w:szCs w:val="18"/>
              </w:rPr>
              <w:t>“Annual Pension Cost”</w:t>
            </w:r>
          </w:p>
        </w:tc>
        <w:tc>
          <w:tcPr>
            <w:tcW w:w="4508" w:type="dxa"/>
            <w:vAlign w:val="center"/>
          </w:tcPr>
          <w:p w14:paraId="72D7FD3F" w14:textId="77777777" w:rsidR="002058A2" w:rsidRPr="008C7712" w:rsidRDefault="008C7712">
            <w:pPr>
              <w:pStyle w:val="GPsDefinition"/>
              <w:tabs>
                <w:tab w:val="clear" w:pos="175"/>
                <w:tab w:val="left" w:pos="-179"/>
                <w:tab w:val="left" w:pos="-9"/>
              </w:tabs>
              <w:jc w:val="left"/>
              <w:rPr>
                <w:rFonts w:eastAsia="STZhongsong"/>
                <w:color w:val="000000"/>
                <w:sz w:val="20"/>
                <w:szCs w:val="18"/>
              </w:rPr>
            </w:pPr>
            <w:r w:rsidRPr="008C7712">
              <w:rPr>
                <w:rFonts w:eastAsia="STZhongsong"/>
                <w:color w:val="000000"/>
                <w:sz w:val="20"/>
                <w:szCs w:val="18"/>
              </w:rPr>
              <w:t>means Employer Pension Contributions, subject to the Employer Pension Contribution Cap</w:t>
            </w:r>
            <w:r>
              <w:rPr>
                <w:rFonts w:eastAsia="STZhongsong"/>
                <w:sz w:val="20"/>
                <w:szCs w:val="18"/>
              </w:rPr>
              <w:t>;</w:t>
            </w:r>
          </w:p>
        </w:tc>
      </w:tr>
      <w:tr w:rsidR="002058A2" w:rsidRPr="008C7712" w14:paraId="28346CD8" w14:textId="77777777">
        <w:tc>
          <w:tcPr>
            <w:tcW w:w="4508" w:type="dxa"/>
            <w:vAlign w:val="center"/>
          </w:tcPr>
          <w:p w14:paraId="288796B2" w14:textId="77777777" w:rsidR="002058A2" w:rsidRPr="008C7712" w:rsidRDefault="008C7712">
            <w:pPr>
              <w:pStyle w:val="GPSDefinitionTerm"/>
              <w:jc w:val="center"/>
              <w:rPr>
                <w:rFonts w:eastAsia="STZhongsong"/>
                <w:color w:val="000000"/>
                <w:sz w:val="20"/>
                <w:szCs w:val="18"/>
              </w:rPr>
            </w:pPr>
            <w:r w:rsidRPr="008C7712">
              <w:rPr>
                <w:rFonts w:eastAsia="STZhongsong"/>
                <w:color w:val="000000"/>
                <w:sz w:val="20"/>
                <w:szCs w:val="18"/>
              </w:rPr>
              <w:t>“Direct Award TUPE Risk Premium”</w:t>
            </w:r>
          </w:p>
        </w:tc>
        <w:tc>
          <w:tcPr>
            <w:tcW w:w="4508" w:type="dxa"/>
            <w:vAlign w:val="center"/>
          </w:tcPr>
          <w:p w14:paraId="74ACE75A" w14:textId="77777777" w:rsidR="002058A2" w:rsidRPr="008C7712" w:rsidRDefault="008C7712">
            <w:pPr>
              <w:pStyle w:val="GPsDefinition"/>
              <w:tabs>
                <w:tab w:val="clear" w:pos="175"/>
                <w:tab w:val="left" w:pos="-179"/>
                <w:tab w:val="left" w:pos="-9"/>
              </w:tabs>
              <w:jc w:val="left"/>
              <w:rPr>
                <w:rFonts w:eastAsia="STZhongsong"/>
                <w:color w:val="000000"/>
                <w:sz w:val="20"/>
                <w:szCs w:val="18"/>
              </w:rPr>
            </w:pPr>
            <w:r w:rsidRPr="008C7712">
              <w:rPr>
                <w:rFonts w:eastAsia="STZhongsong"/>
                <w:color w:val="000000"/>
                <w:sz w:val="20"/>
                <w:szCs w:val="18"/>
              </w:rPr>
              <w:t>means the % of the total price of the Deliverables as submitted by the Supplier within Framework Schedule 3 – Annex 1 (</w:t>
            </w:r>
            <w:r>
              <w:rPr>
                <w:rFonts w:eastAsia="STZhongsong"/>
                <w:sz w:val="20"/>
                <w:szCs w:val="18"/>
              </w:rPr>
              <w:t xml:space="preserve"> Rates and Prices</w:t>
            </w:r>
            <w:r w:rsidRPr="008C7712">
              <w:rPr>
                <w:rFonts w:eastAsia="STZhongsong"/>
                <w:color w:val="000000"/>
                <w:sz w:val="20"/>
                <w:szCs w:val="18"/>
              </w:rPr>
              <w:t>) to cover the risk of employees transferring on terms which are protected by Employment Regulations</w:t>
            </w:r>
            <w:r>
              <w:rPr>
                <w:rFonts w:eastAsia="STZhongsong"/>
                <w:sz w:val="20"/>
                <w:szCs w:val="18"/>
              </w:rPr>
              <w:t>;</w:t>
            </w:r>
          </w:p>
        </w:tc>
      </w:tr>
      <w:tr w:rsidR="002058A2" w:rsidRPr="008C7712" w14:paraId="42E40A5E" w14:textId="77777777">
        <w:tc>
          <w:tcPr>
            <w:tcW w:w="4508" w:type="dxa"/>
            <w:vAlign w:val="center"/>
          </w:tcPr>
          <w:p w14:paraId="7E406BC3" w14:textId="77777777" w:rsidR="002058A2" w:rsidRPr="008C7712" w:rsidRDefault="008C7712">
            <w:pPr>
              <w:pStyle w:val="GPSDefinitionTerm"/>
              <w:jc w:val="center"/>
              <w:rPr>
                <w:rFonts w:eastAsia="STZhongsong"/>
                <w:color w:val="000000"/>
                <w:sz w:val="20"/>
                <w:szCs w:val="18"/>
              </w:rPr>
            </w:pPr>
            <w:r w:rsidRPr="008C7712">
              <w:rPr>
                <w:rFonts w:eastAsia="STZhongsong"/>
                <w:color w:val="000000"/>
                <w:sz w:val="20"/>
                <w:szCs w:val="18"/>
              </w:rPr>
              <w:t>“Cost of Change”</w:t>
            </w:r>
          </w:p>
        </w:tc>
        <w:tc>
          <w:tcPr>
            <w:tcW w:w="4508" w:type="dxa"/>
            <w:vAlign w:val="center"/>
          </w:tcPr>
          <w:p w14:paraId="08731B1E" w14:textId="77777777" w:rsidR="002058A2" w:rsidRDefault="008C7712">
            <w:pPr>
              <w:pStyle w:val="GPsDefinition"/>
              <w:tabs>
                <w:tab w:val="clear" w:pos="175"/>
                <w:tab w:val="left" w:pos="-179"/>
                <w:tab w:val="left" w:pos="-9"/>
              </w:tabs>
              <w:jc w:val="left"/>
              <w:rPr>
                <w:rFonts w:eastAsia="STZhongsong"/>
                <w:color w:val="000000"/>
                <w:sz w:val="20"/>
                <w:szCs w:val="18"/>
              </w:rPr>
            </w:pPr>
            <w:proofErr w:type="gramStart"/>
            <w:r w:rsidRPr="008C7712">
              <w:rPr>
                <w:rFonts w:eastAsia="STZhongsong"/>
                <w:color w:val="000000"/>
                <w:sz w:val="20"/>
                <w:szCs w:val="18"/>
              </w:rPr>
              <w:t>means</w:t>
            </w:r>
            <w:proofErr w:type="gramEnd"/>
            <w:r w:rsidRPr="008C7712">
              <w:rPr>
                <w:rFonts w:eastAsia="STZhongsong"/>
                <w:color w:val="000000"/>
                <w:sz w:val="20"/>
                <w:szCs w:val="18"/>
              </w:rPr>
              <w:t xml:space="preserve"> </w:t>
            </w:r>
            <w:r>
              <w:rPr>
                <w:rFonts w:eastAsia="STZhongsong"/>
                <w:color w:val="000000"/>
                <w:sz w:val="20"/>
                <w:szCs w:val="18"/>
              </w:rPr>
              <w:t>any costs that will be incurred in managing the transition of an individual who is listed as a TUPE employee, and will not be required to fulfil a role as part of the new contract, within the Call Off Pricing Matrix. Examples could include but not be limited to: staff consultation, redeployment costs, short-term salary cover associated with redeployment or release of labour, and temporary staffing</w:t>
            </w:r>
            <w:r>
              <w:rPr>
                <w:rFonts w:eastAsia="STZhongsong"/>
                <w:sz w:val="20"/>
                <w:szCs w:val="18"/>
              </w:rPr>
              <w:t>;</w:t>
            </w:r>
          </w:p>
        </w:tc>
      </w:tr>
      <w:tr w:rsidR="002058A2" w:rsidRPr="008C7712" w14:paraId="7399DACE" w14:textId="77777777">
        <w:tc>
          <w:tcPr>
            <w:tcW w:w="4508" w:type="dxa"/>
            <w:vAlign w:val="center"/>
          </w:tcPr>
          <w:p w14:paraId="416E8207" w14:textId="77777777" w:rsidR="002058A2" w:rsidRPr="008C7712" w:rsidRDefault="008C7712">
            <w:pPr>
              <w:pStyle w:val="GPSDefinitionTerm"/>
              <w:jc w:val="center"/>
              <w:rPr>
                <w:rFonts w:eastAsia="STZhongsong"/>
                <w:color w:val="000000"/>
                <w:sz w:val="20"/>
                <w:szCs w:val="18"/>
              </w:rPr>
            </w:pPr>
            <w:r w:rsidRPr="008C7712">
              <w:rPr>
                <w:rFonts w:eastAsia="STZhongsong"/>
                <w:color w:val="000000"/>
                <w:sz w:val="20"/>
                <w:szCs w:val="18"/>
              </w:rPr>
              <w:t>"Employer Pension Contribution"</w:t>
            </w:r>
          </w:p>
        </w:tc>
        <w:tc>
          <w:tcPr>
            <w:tcW w:w="4508" w:type="dxa"/>
            <w:vAlign w:val="center"/>
          </w:tcPr>
          <w:p w14:paraId="477F2421" w14:textId="08EB89C2" w:rsidR="002058A2" w:rsidRPr="008C7712" w:rsidRDefault="008C7712" w:rsidP="004E43E5">
            <w:pPr>
              <w:pStyle w:val="GPsDefinition"/>
              <w:tabs>
                <w:tab w:val="clear" w:pos="175"/>
                <w:tab w:val="left" w:pos="-179"/>
                <w:tab w:val="left" w:pos="-9"/>
              </w:tabs>
              <w:jc w:val="left"/>
              <w:rPr>
                <w:rFonts w:eastAsia="STZhongsong"/>
                <w:color w:val="000000"/>
                <w:sz w:val="20"/>
                <w:szCs w:val="18"/>
              </w:rPr>
            </w:pPr>
            <w:r w:rsidRPr="008C7712">
              <w:rPr>
                <w:rFonts w:eastAsia="STZhongsong"/>
                <w:color w:val="000000"/>
                <w:sz w:val="20"/>
                <w:szCs w:val="18"/>
              </w:rPr>
              <w:t xml:space="preserve">means standard employer pension contributions paid in accordance with the relevant pension scheme rules and used in the calculation of the </w:t>
            </w:r>
            <w:r w:rsidR="004E43E5">
              <w:rPr>
                <w:rFonts w:eastAsia="STZhongsong"/>
                <w:color w:val="000000"/>
                <w:sz w:val="20"/>
                <w:szCs w:val="18"/>
              </w:rPr>
              <w:t xml:space="preserve">Direct Award </w:t>
            </w:r>
            <w:r w:rsidRPr="008C7712">
              <w:rPr>
                <w:rFonts w:eastAsia="STZhongsong"/>
                <w:color w:val="000000"/>
                <w:sz w:val="20"/>
                <w:szCs w:val="18"/>
              </w:rPr>
              <w:t>TUPE Risk Premium</w:t>
            </w:r>
            <w:r w:rsidR="004E43E5">
              <w:rPr>
                <w:rFonts w:eastAsia="STZhongsong"/>
                <w:sz w:val="20"/>
                <w:szCs w:val="18"/>
              </w:rPr>
              <w:t xml:space="preserve"> l</w:t>
            </w:r>
            <w:r>
              <w:rPr>
                <w:rFonts w:eastAsia="STZhongsong"/>
                <w:sz w:val="20"/>
                <w:szCs w:val="18"/>
              </w:rPr>
              <w:t>ess any costs recoverable under paragraph 6 of Annex D3: LGPS of Part D Pensions of Schedule 2 Staff Transfer</w:t>
            </w:r>
            <w:r w:rsidRPr="008C7712">
              <w:rPr>
                <w:rFonts w:eastAsia="STZhongsong"/>
                <w:color w:val="000000"/>
                <w:sz w:val="20"/>
                <w:szCs w:val="18"/>
              </w:rPr>
              <w:t>;</w:t>
            </w:r>
          </w:p>
        </w:tc>
      </w:tr>
      <w:tr w:rsidR="002058A2" w:rsidRPr="008C7712" w14:paraId="5DD21D19" w14:textId="77777777">
        <w:tc>
          <w:tcPr>
            <w:tcW w:w="4508" w:type="dxa"/>
            <w:vAlign w:val="center"/>
          </w:tcPr>
          <w:p w14:paraId="706C025A" w14:textId="77777777" w:rsidR="002058A2" w:rsidRPr="008C7712" w:rsidRDefault="008C7712">
            <w:pPr>
              <w:pStyle w:val="GPSDefinitionTerm"/>
              <w:jc w:val="center"/>
              <w:rPr>
                <w:rFonts w:eastAsia="STZhongsong"/>
                <w:color w:val="000000"/>
                <w:sz w:val="20"/>
                <w:szCs w:val="18"/>
              </w:rPr>
            </w:pPr>
            <w:r w:rsidRPr="008C7712">
              <w:rPr>
                <w:rFonts w:eastAsia="STZhongsong"/>
                <w:color w:val="000000"/>
                <w:sz w:val="20"/>
                <w:szCs w:val="18"/>
              </w:rPr>
              <w:t>"Employer Pension Contribution Cap"</w:t>
            </w:r>
          </w:p>
        </w:tc>
        <w:tc>
          <w:tcPr>
            <w:tcW w:w="4508" w:type="dxa"/>
            <w:vAlign w:val="center"/>
          </w:tcPr>
          <w:p w14:paraId="7AA317B9" w14:textId="350257E7" w:rsidR="002058A2" w:rsidRPr="008C7712" w:rsidRDefault="008C7712">
            <w:pPr>
              <w:pStyle w:val="GPsDefinition"/>
              <w:tabs>
                <w:tab w:val="clear" w:pos="175"/>
                <w:tab w:val="left" w:pos="-179"/>
                <w:tab w:val="left" w:pos="-9"/>
              </w:tabs>
              <w:jc w:val="left"/>
              <w:rPr>
                <w:rFonts w:eastAsia="STZhongsong"/>
                <w:color w:val="000000"/>
                <w:sz w:val="20"/>
                <w:szCs w:val="18"/>
              </w:rPr>
            </w:pPr>
            <w:r w:rsidRPr="008C7712">
              <w:rPr>
                <w:rFonts w:eastAsia="STZhongsong"/>
                <w:color w:val="000000"/>
                <w:sz w:val="20"/>
                <w:szCs w:val="18"/>
              </w:rPr>
              <w:t>means the 6% maximum rate of Employer Pension Contribution used in the calculation of the</w:t>
            </w:r>
            <w:r w:rsidR="004E43E5">
              <w:rPr>
                <w:rFonts w:eastAsia="STZhongsong"/>
                <w:color w:val="000000"/>
                <w:sz w:val="20"/>
                <w:szCs w:val="18"/>
              </w:rPr>
              <w:t xml:space="preserve"> Direct Award</w:t>
            </w:r>
            <w:r w:rsidRPr="008C7712">
              <w:rPr>
                <w:rFonts w:eastAsia="STZhongsong"/>
                <w:color w:val="000000"/>
                <w:sz w:val="20"/>
                <w:szCs w:val="18"/>
              </w:rPr>
              <w:t xml:space="preserve"> TUPE Risk Premium;</w:t>
            </w:r>
          </w:p>
        </w:tc>
      </w:tr>
      <w:tr w:rsidR="002058A2" w:rsidRPr="008C7712" w14:paraId="550AFFEE" w14:textId="77777777">
        <w:tc>
          <w:tcPr>
            <w:tcW w:w="4508" w:type="dxa"/>
            <w:vAlign w:val="center"/>
          </w:tcPr>
          <w:p w14:paraId="60B342E3" w14:textId="77777777" w:rsidR="002058A2" w:rsidRPr="008C7712" w:rsidRDefault="008C7712">
            <w:pPr>
              <w:pStyle w:val="GPSDefinitionTerm"/>
              <w:jc w:val="center"/>
              <w:rPr>
                <w:rFonts w:eastAsia="STZhongsong"/>
                <w:color w:val="000000"/>
                <w:sz w:val="20"/>
                <w:szCs w:val="18"/>
              </w:rPr>
            </w:pPr>
            <w:r w:rsidRPr="008C7712">
              <w:rPr>
                <w:rFonts w:eastAsia="STZhongsong"/>
                <w:color w:val="000000"/>
                <w:sz w:val="20"/>
                <w:szCs w:val="18"/>
              </w:rPr>
              <w:t>"Other Pension Cost"</w:t>
            </w:r>
          </w:p>
        </w:tc>
        <w:tc>
          <w:tcPr>
            <w:tcW w:w="4508" w:type="dxa"/>
            <w:vAlign w:val="center"/>
          </w:tcPr>
          <w:p w14:paraId="5819F380" w14:textId="77777777" w:rsidR="002058A2" w:rsidRPr="008C7712" w:rsidRDefault="002058A2">
            <w:pPr>
              <w:pStyle w:val="GPsDefinition"/>
              <w:numPr>
                <w:ilvl w:val="0"/>
                <w:numId w:val="0"/>
              </w:numPr>
              <w:tabs>
                <w:tab w:val="clear" w:pos="175"/>
                <w:tab w:val="left" w:pos="-179"/>
                <w:tab w:val="left" w:pos="-9"/>
              </w:tabs>
              <w:ind w:left="170"/>
              <w:jc w:val="left"/>
              <w:rPr>
                <w:rFonts w:eastAsia="STZhongsong"/>
                <w:color w:val="000000"/>
                <w:sz w:val="20"/>
                <w:szCs w:val="18"/>
              </w:rPr>
            </w:pPr>
          </w:p>
          <w:p w14:paraId="769F6B0F" w14:textId="77777777" w:rsidR="002058A2" w:rsidRPr="008C7712" w:rsidRDefault="008C7712">
            <w:pPr>
              <w:pStyle w:val="GPsDefinition"/>
              <w:rPr>
                <w:rFonts w:eastAsia="STZhongsong"/>
                <w:color w:val="000000"/>
                <w:sz w:val="20"/>
                <w:szCs w:val="18"/>
              </w:rPr>
            </w:pPr>
            <w:r w:rsidRPr="008C7712">
              <w:rPr>
                <w:rFonts w:eastAsia="STZhongsong"/>
                <w:color w:val="000000"/>
                <w:sz w:val="20"/>
                <w:szCs w:val="18"/>
              </w:rPr>
              <w:t>means:</w:t>
            </w:r>
          </w:p>
          <w:p w14:paraId="5CDB1E6D" w14:textId="77777777" w:rsidR="002058A2" w:rsidRPr="008C7712" w:rsidRDefault="008C7712">
            <w:pPr>
              <w:pStyle w:val="GPsDefinition"/>
              <w:rPr>
                <w:rFonts w:eastAsia="STZhongsong"/>
                <w:color w:val="000000"/>
                <w:sz w:val="20"/>
                <w:szCs w:val="18"/>
              </w:rPr>
            </w:pPr>
            <w:r w:rsidRPr="008C7712">
              <w:rPr>
                <w:rFonts w:eastAsia="STZhongsong"/>
                <w:color w:val="000000"/>
                <w:sz w:val="20"/>
                <w:szCs w:val="18"/>
              </w:rPr>
              <w:t>a)    in respect of CSPS Eligible Employees those sums set out at Clauses 7.1.1 (annual administration charges covering core services), 7.1.5 (employer contributions), 7.1.7 (the ASLC) and 7.1.8 (flat charges applicable to the Partnership Pension Account) of the CSPS Admission Agreement;</w:t>
            </w:r>
          </w:p>
          <w:p w14:paraId="5D2B1EBA" w14:textId="77777777" w:rsidR="002058A2" w:rsidRPr="008C7712" w:rsidRDefault="008C7712">
            <w:pPr>
              <w:pStyle w:val="GPsDefinition"/>
              <w:rPr>
                <w:rFonts w:eastAsia="STZhongsong"/>
                <w:color w:val="000000"/>
                <w:sz w:val="20"/>
                <w:szCs w:val="18"/>
              </w:rPr>
            </w:pPr>
            <w:r w:rsidRPr="008C7712">
              <w:rPr>
                <w:rFonts w:eastAsia="STZhongsong"/>
                <w:color w:val="000000"/>
                <w:sz w:val="20"/>
                <w:szCs w:val="18"/>
              </w:rPr>
              <w:t xml:space="preserve">b)    in respect of NHSPS Eligible Employees, the standard employer contribution rate applicable to NHS Pensions employers during the Contract Period and payable by the Supplier (but no other costs, contributions, charges or surcharges payable </w:t>
            </w:r>
            <w:r w:rsidRPr="008C7712">
              <w:rPr>
                <w:rFonts w:eastAsia="STZhongsong"/>
                <w:color w:val="000000"/>
                <w:sz w:val="20"/>
                <w:szCs w:val="18"/>
              </w:rPr>
              <w:lastRenderedPageBreak/>
              <w:t>by the Supplier to or in respect of NHS Pensions or in respect of any NHS Premature Retirement Rights, unless otherwise agreed in writing by the Buyer);</w:t>
            </w:r>
          </w:p>
          <w:p w14:paraId="5A46AB52" w14:textId="77777777" w:rsidR="002058A2" w:rsidRPr="008C7712" w:rsidRDefault="008C7712">
            <w:pPr>
              <w:pStyle w:val="GPsDefinition"/>
              <w:rPr>
                <w:rFonts w:eastAsia="STZhongsong"/>
                <w:color w:val="000000"/>
                <w:sz w:val="20"/>
                <w:szCs w:val="18"/>
              </w:rPr>
            </w:pPr>
            <w:r w:rsidRPr="008C7712">
              <w:rPr>
                <w:rFonts w:eastAsia="STZhongsong"/>
                <w:color w:val="000000"/>
                <w:sz w:val="20"/>
                <w:szCs w:val="18"/>
              </w:rPr>
              <w:t>c)    in respect of LGPS Eligible Employees</w:t>
            </w:r>
            <w:r>
              <w:rPr>
                <w:rFonts w:eastAsia="STZhongsong"/>
                <w:sz w:val="20"/>
                <w:szCs w:val="18"/>
              </w:rPr>
              <w:t>,</w:t>
            </w:r>
            <w:r w:rsidRPr="008C7712">
              <w:rPr>
                <w:rFonts w:eastAsia="STZhongsong"/>
                <w:color w:val="000000"/>
                <w:sz w:val="20"/>
                <w:szCs w:val="18"/>
              </w:rPr>
              <w:t xml:space="preserve"> the standard employer contribution rate applicable to LGPS Eligible Employees during the Contract Period and payable by the Supplier </w:t>
            </w:r>
            <w:r>
              <w:rPr>
                <w:rFonts w:eastAsia="STZhongsong"/>
                <w:sz w:val="20"/>
                <w:szCs w:val="18"/>
              </w:rPr>
              <w:t xml:space="preserve">such </w:t>
            </w:r>
            <w:r w:rsidRPr="00EB1D55">
              <w:rPr>
                <w:rFonts w:eastAsia="STZhongsong"/>
                <w:sz w:val="20"/>
                <w:szCs w:val="18"/>
              </w:rPr>
              <w:t xml:space="preserve">sums expressed and set out in the rates and adjustments certificate under regulation 62 of the LGPS Regulations (but no other costs, contributions, charges or surcharges payable by the Supplier to or in respect of the LGPS unless otherwise agreed in writing by the Authority) less any costs recoverable </w:t>
            </w:r>
            <w:r>
              <w:rPr>
                <w:rFonts w:eastAsia="STZhongsong"/>
                <w:sz w:val="20"/>
                <w:szCs w:val="18"/>
              </w:rPr>
              <w:t>under paragraph 6 of Annex D3: LGPS of Part D Pensions of Schedule 2 Staff Transfer</w:t>
            </w:r>
            <w:r>
              <w:rPr>
                <w:rFonts w:eastAsia="STZhongsong"/>
                <w:color w:val="1F497D"/>
                <w:sz w:val="20"/>
                <w:szCs w:val="18"/>
              </w:rPr>
              <w:t>;</w:t>
            </w:r>
            <w:r w:rsidRPr="008C7712">
              <w:rPr>
                <w:rFonts w:eastAsia="STZhongsong"/>
                <w:color w:val="000000"/>
                <w:sz w:val="20"/>
                <w:szCs w:val="18"/>
              </w:rPr>
              <w:t xml:space="preserve"> and </w:t>
            </w:r>
          </w:p>
          <w:p w14:paraId="64275C40" w14:textId="77777777" w:rsidR="002058A2" w:rsidRPr="008C7712" w:rsidRDefault="008C7712">
            <w:pPr>
              <w:pStyle w:val="GPsDefinition"/>
              <w:tabs>
                <w:tab w:val="clear" w:pos="175"/>
                <w:tab w:val="left" w:pos="-179"/>
                <w:tab w:val="left" w:pos="-9"/>
              </w:tabs>
              <w:jc w:val="left"/>
              <w:rPr>
                <w:rFonts w:eastAsia="STZhongsong"/>
                <w:color w:val="000000"/>
                <w:sz w:val="20"/>
                <w:szCs w:val="18"/>
              </w:rPr>
            </w:pPr>
            <w:r w:rsidRPr="008C7712">
              <w:rPr>
                <w:rFonts w:eastAsia="STZhongsong"/>
                <w:color w:val="000000"/>
                <w:sz w:val="20"/>
                <w:szCs w:val="18"/>
              </w:rPr>
              <w:t>d)    such other pension contributions, charges or costs incurred by the Supplier which have been expressly agreed by the Buyer in writing to constitute “Other Pension Costs”</w:t>
            </w:r>
          </w:p>
        </w:tc>
      </w:tr>
    </w:tbl>
    <w:p w14:paraId="220930E5" w14:textId="77777777" w:rsidR="002C0300" w:rsidRDefault="002C0300">
      <w:pPr>
        <w:pStyle w:val="GPSSchTitleandNumber"/>
        <w:ind w:firstLine="0"/>
        <w:jc w:val="both"/>
        <w:rPr>
          <w:rFonts w:ascii="Calibri" w:hAnsi="Calibri"/>
          <w:szCs w:val="18"/>
        </w:rPr>
      </w:pPr>
    </w:p>
    <w:p w14:paraId="55A57617" w14:textId="77777777" w:rsidR="002058A2" w:rsidRDefault="00A10C99">
      <w:pPr>
        <w:pStyle w:val="GPSL2Numbered"/>
        <w:numPr>
          <w:ilvl w:val="0"/>
          <w:numId w:val="17"/>
        </w:numPr>
        <w:rPr>
          <w:rFonts w:eastAsia="STZhongsong"/>
          <w:b/>
          <w:szCs w:val="18"/>
        </w:rPr>
      </w:pPr>
      <w:bookmarkStart w:id="12" w:name="_Ref498973662"/>
      <w:r>
        <w:rPr>
          <w:rFonts w:eastAsia="STZhongsong"/>
          <w:b/>
          <w:szCs w:val="18"/>
        </w:rPr>
        <w:t>DIRECT AWARD</w:t>
      </w:r>
      <w:r w:rsidR="008C7712">
        <w:rPr>
          <w:rFonts w:eastAsia="STZhongsong"/>
          <w:b/>
          <w:szCs w:val="18"/>
        </w:rPr>
        <w:t xml:space="preserve"> TUPE RISK PREMIUM</w:t>
      </w:r>
      <w:bookmarkEnd w:id="12"/>
    </w:p>
    <w:p w14:paraId="47B03356" w14:textId="77777777" w:rsidR="002058A2" w:rsidRDefault="008C7712">
      <w:pPr>
        <w:pStyle w:val="GPSL2Numbered"/>
        <w:numPr>
          <w:ilvl w:val="1"/>
          <w:numId w:val="17"/>
        </w:numPr>
        <w:tabs>
          <w:tab w:val="clear" w:pos="1078"/>
        </w:tabs>
        <w:ind w:left="936" w:hanging="576"/>
        <w:rPr>
          <w:rFonts w:eastAsia="STZhongsong"/>
          <w:szCs w:val="18"/>
        </w:rPr>
      </w:pPr>
      <w:r>
        <w:rPr>
          <w:rFonts w:eastAsia="STZhongsong"/>
          <w:szCs w:val="18"/>
        </w:rPr>
        <w:t xml:space="preserve">The Direct Award TUPE Risk Premium shall be as set out in Annex 1 - Framework Schedule 3 (Framework Prices). </w:t>
      </w:r>
    </w:p>
    <w:p w14:paraId="4DAE420F" w14:textId="77777777" w:rsidR="002058A2" w:rsidRDefault="008C7712">
      <w:pPr>
        <w:pStyle w:val="GPSL2Numbered"/>
        <w:numPr>
          <w:ilvl w:val="1"/>
          <w:numId w:val="17"/>
        </w:numPr>
        <w:tabs>
          <w:tab w:val="clear" w:pos="1078"/>
        </w:tabs>
        <w:ind w:left="936" w:hanging="576"/>
        <w:rPr>
          <w:rFonts w:eastAsia="STZhongsong"/>
          <w:szCs w:val="18"/>
        </w:rPr>
      </w:pPr>
      <w:r>
        <w:rPr>
          <w:rFonts w:eastAsia="STZhongsong"/>
          <w:szCs w:val="18"/>
        </w:rPr>
        <w:t xml:space="preserve">The Direct Award TUPE Risk Premium shall apply for the Call </w:t>
      </w:r>
      <w:proofErr w:type="gramStart"/>
      <w:r>
        <w:rPr>
          <w:rFonts w:eastAsia="STZhongsong"/>
          <w:szCs w:val="18"/>
        </w:rPr>
        <w:t>Off</w:t>
      </w:r>
      <w:proofErr w:type="gramEnd"/>
      <w:r>
        <w:rPr>
          <w:rFonts w:eastAsia="STZhongsong"/>
          <w:szCs w:val="18"/>
        </w:rPr>
        <w:t xml:space="preserve"> Contract Period and no changes shall be permitted except as set out in paragraph </w:t>
      </w:r>
      <w:r w:rsidR="00A10FED">
        <w:rPr>
          <w:rFonts w:eastAsia="STZhongsong"/>
          <w:szCs w:val="18"/>
        </w:rPr>
        <w:t>2</w:t>
      </w:r>
      <w:r>
        <w:rPr>
          <w:rFonts w:eastAsia="STZhongsong"/>
          <w:szCs w:val="18"/>
        </w:rPr>
        <w:t xml:space="preserve"> of this Schedule 6 (TUPE Surcharge).</w:t>
      </w:r>
    </w:p>
    <w:p w14:paraId="31290ECB" w14:textId="77777777" w:rsidR="002058A2" w:rsidRDefault="008C7712">
      <w:pPr>
        <w:pStyle w:val="GPSL2Numbered"/>
        <w:numPr>
          <w:ilvl w:val="0"/>
          <w:numId w:val="17"/>
        </w:numPr>
        <w:rPr>
          <w:rFonts w:eastAsia="STZhongsong"/>
          <w:b/>
          <w:szCs w:val="18"/>
        </w:rPr>
      </w:pPr>
      <w:r>
        <w:rPr>
          <w:rFonts w:eastAsia="STZhongsong"/>
          <w:b/>
          <w:szCs w:val="18"/>
        </w:rPr>
        <w:t>EMPLOYER PENSIONS CONTRIBUTION CAP &amp; OTHER PENSION COST</w:t>
      </w:r>
    </w:p>
    <w:p w14:paraId="0F295751" w14:textId="77777777" w:rsidR="002058A2" w:rsidRPr="009D134F" w:rsidRDefault="008C7712" w:rsidP="009D134F">
      <w:pPr>
        <w:pStyle w:val="GPSL2numberedclause"/>
        <w:numPr>
          <w:ilvl w:val="1"/>
          <w:numId w:val="21"/>
        </w:numPr>
        <w:tabs>
          <w:tab w:val="num" w:pos="1440"/>
        </w:tabs>
        <w:rPr>
          <w:rFonts w:eastAsia="STZhongsong"/>
          <w:szCs w:val="18"/>
        </w:rPr>
      </w:pPr>
      <w:r w:rsidRPr="009D134F">
        <w:rPr>
          <w:rFonts w:eastAsia="STZhongsong"/>
          <w:szCs w:val="18"/>
        </w:rPr>
        <w:t>Where any Annual Pension Cost would have included Employer Pension Contribution in excess of the 6% Employer Pension Contribution Cap or Other Pension Costs, the Supplier may request a pension adjustment to cover the additional cost. Such request for a pension adjustment to be must be submitted to the Buyer, no later than 20 Working Days after the end of the relevant Contract Year.</w:t>
      </w:r>
    </w:p>
    <w:p w14:paraId="40078289" w14:textId="2DDAD755" w:rsidR="002058A2" w:rsidRPr="009D134F" w:rsidRDefault="008C7712" w:rsidP="009D134F">
      <w:pPr>
        <w:pStyle w:val="GPSL2numberedclause"/>
        <w:numPr>
          <w:ilvl w:val="1"/>
          <w:numId w:val="21"/>
        </w:numPr>
        <w:tabs>
          <w:tab w:val="num" w:pos="1440"/>
        </w:tabs>
        <w:rPr>
          <w:rFonts w:eastAsia="STZhongsong"/>
          <w:szCs w:val="18"/>
        </w:rPr>
      </w:pPr>
      <w:r w:rsidRPr="009D134F">
        <w:rPr>
          <w:rFonts w:eastAsia="STZhongsong"/>
          <w:szCs w:val="18"/>
        </w:rPr>
        <w:t xml:space="preserve">If the Supplier requests a pension adjustment in accordance with the provisions of paragraph </w:t>
      </w:r>
      <w:r w:rsidR="00A10FED" w:rsidRPr="009D134F">
        <w:rPr>
          <w:rFonts w:eastAsia="STZhongsong"/>
          <w:szCs w:val="18"/>
        </w:rPr>
        <w:t>2</w:t>
      </w:r>
      <w:r w:rsidR="005C19F0">
        <w:rPr>
          <w:rFonts w:eastAsia="STZhongsong"/>
          <w:szCs w:val="18"/>
        </w:rPr>
        <w:t>.1.</w:t>
      </w:r>
      <w:r w:rsidRPr="009D134F">
        <w:rPr>
          <w:rFonts w:eastAsia="STZhongsong"/>
          <w:szCs w:val="18"/>
        </w:rPr>
        <w:t xml:space="preserve"> </w:t>
      </w:r>
      <w:proofErr w:type="gramStart"/>
      <w:r w:rsidRPr="009D134F">
        <w:rPr>
          <w:rFonts w:eastAsia="STZhongsong"/>
          <w:szCs w:val="18"/>
        </w:rPr>
        <w:t>above</w:t>
      </w:r>
      <w:proofErr w:type="gramEnd"/>
      <w:r w:rsidRPr="009D134F">
        <w:rPr>
          <w:rFonts w:eastAsia="STZhongsong"/>
          <w:szCs w:val="18"/>
        </w:rPr>
        <w:t xml:space="preserve"> to the</w:t>
      </w:r>
      <w:r w:rsidR="00A10FED" w:rsidRPr="009D134F">
        <w:rPr>
          <w:rFonts w:eastAsia="STZhongsong"/>
          <w:szCs w:val="18"/>
        </w:rPr>
        <w:t xml:space="preserve"> Direct Award</w:t>
      </w:r>
      <w:r w:rsidRPr="009D134F">
        <w:rPr>
          <w:rFonts w:eastAsia="STZhongsong"/>
          <w:szCs w:val="18"/>
        </w:rPr>
        <w:t xml:space="preserve"> TUPE Risk Premium they must provide sufficient evidence to the Buyer to justify the pension adjustment.</w:t>
      </w:r>
    </w:p>
    <w:p w14:paraId="7B279FE0" w14:textId="77777777" w:rsidR="002058A2" w:rsidRPr="009D134F" w:rsidRDefault="008C7712" w:rsidP="009D134F">
      <w:pPr>
        <w:pStyle w:val="GPSL2numberedclause"/>
        <w:keepNext/>
        <w:numPr>
          <w:ilvl w:val="1"/>
          <w:numId w:val="21"/>
        </w:numPr>
        <w:tabs>
          <w:tab w:val="num" w:pos="1440"/>
        </w:tabs>
        <w:rPr>
          <w:rFonts w:eastAsia="STZhongsong"/>
          <w:szCs w:val="18"/>
        </w:rPr>
      </w:pPr>
      <w:r w:rsidRPr="009D134F">
        <w:rPr>
          <w:rFonts w:eastAsia="STZhongsong"/>
          <w:szCs w:val="18"/>
        </w:rPr>
        <w:t>On receipt of the Supplier's calculation of the  pension adjustment the Buyer shall either:</w:t>
      </w:r>
    </w:p>
    <w:p w14:paraId="3A2D59F9" w14:textId="77777777" w:rsidR="002058A2" w:rsidRDefault="008C7712" w:rsidP="009D134F">
      <w:pPr>
        <w:pStyle w:val="GPSL3numberedclause"/>
        <w:rPr>
          <w:rFonts w:eastAsia="STZhongsong"/>
        </w:rPr>
      </w:pPr>
      <w:r>
        <w:rPr>
          <w:rFonts w:eastAsia="STZhongsong"/>
        </w:rPr>
        <w:t xml:space="preserve">Notify the Supplier in writing of acceptance of the  pension  adjustment; </w:t>
      </w:r>
    </w:p>
    <w:p w14:paraId="78E17A33" w14:textId="77777777" w:rsidR="002058A2" w:rsidRDefault="008C7712" w:rsidP="009D134F">
      <w:pPr>
        <w:pStyle w:val="GPSL3numberedclause"/>
        <w:rPr>
          <w:rFonts w:eastAsia="STZhongsong"/>
        </w:rPr>
      </w:pPr>
      <w:r>
        <w:rPr>
          <w:rFonts w:eastAsia="STZhongsong"/>
        </w:rPr>
        <w:t>Request further information/evidence; and/or</w:t>
      </w:r>
    </w:p>
    <w:p w14:paraId="7D19E112" w14:textId="77777777" w:rsidR="002058A2" w:rsidRDefault="008C7712" w:rsidP="009D134F">
      <w:pPr>
        <w:pStyle w:val="GPSL3numberedclause"/>
        <w:rPr>
          <w:rFonts w:eastAsia="STZhongsong"/>
        </w:rPr>
      </w:pPr>
      <w:r>
        <w:rPr>
          <w:rFonts w:eastAsia="STZhongsong"/>
        </w:rPr>
        <w:t>Request a meeting to discuss/clarify the evidence provided.</w:t>
      </w:r>
    </w:p>
    <w:p w14:paraId="64DC7B21" w14:textId="37CA6E19" w:rsidR="002058A2" w:rsidRPr="009D134F" w:rsidRDefault="008C7712" w:rsidP="009D134F">
      <w:pPr>
        <w:pStyle w:val="GPSL2numberedclause"/>
        <w:keepNext/>
        <w:numPr>
          <w:ilvl w:val="1"/>
          <w:numId w:val="21"/>
        </w:numPr>
        <w:tabs>
          <w:tab w:val="num" w:pos="1440"/>
        </w:tabs>
        <w:rPr>
          <w:rFonts w:eastAsia="STZhongsong"/>
          <w:szCs w:val="18"/>
        </w:rPr>
      </w:pPr>
      <w:r w:rsidRPr="009D134F">
        <w:rPr>
          <w:rFonts w:eastAsia="STZhongsong"/>
          <w:szCs w:val="18"/>
        </w:rPr>
        <w:lastRenderedPageBreak/>
        <w:t xml:space="preserve">Where the pension adjustment in Paragraph </w:t>
      </w:r>
      <w:r w:rsidR="00A10FED" w:rsidRPr="009D134F">
        <w:rPr>
          <w:rFonts w:eastAsia="STZhongsong"/>
          <w:szCs w:val="18"/>
        </w:rPr>
        <w:t>2</w:t>
      </w:r>
      <w:r w:rsidRPr="009D134F">
        <w:rPr>
          <w:rFonts w:eastAsia="STZhongsong"/>
          <w:szCs w:val="18"/>
        </w:rPr>
        <w:t xml:space="preserve">.1 is agreed following the receipt of further information/evidence or following a meeting, the Buyer shall notify the Supplier in writing. </w:t>
      </w:r>
    </w:p>
    <w:p w14:paraId="796C8A1C" w14:textId="77777777" w:rsidR="002058A2" w:rsidRPr="009D134F" w:rsidRDefault="008C7712" w:rsidP="009D134F">
      <w:pPr>
        <w:pStyle w:val="GPSL2numberedclause"/>
        <w:keepNext/>
        <w:numPr>
          <w:ilvl w:val="1"/>
          <w:numId w:val="21"/>
        </w:numPr>
        <w:tabs>
          <w:tab w:val="num" w:pos="1440"/>
        </w:tabs>
        <w:rPr>
          <w:rFonts w:eastAsia="STZhongsong"/>
          <w:szCs w:val="18"/>
        </w:rPr>
      </w:pPr>
      <w:r w:rsidRPr="009D134F">
        <w:rPr>
          <w:rFonts w:eastAsia="STZhongsong"/>
          <w:szCs w:val="18"/>
        </w:rPr>
        <w:t xml:space="preserve">In the event that the Supplier and the Buyer are unable to agree the pension adjustment, they shall follow the Dispute Resolution Procedure. </w:t>
      </w:r>
    </w:p>
    <w:p w14:paraId="53FB4E4E" w14:textId="02096AF9" w:rsidR="002058A2" w:rsidRPr="009D134F" w:rsidRDefault="008C7712" w:rsidP="009D134F">
      <w:pPr>
        <w:pStyle w:val="GPSL2numberedclause"/>
        <w:keepNext/>
        <w:numPr>
          <w:ilvl w:val="1"/>
          <w:numId w:val="21"/>
        </w:numPr>
        <w:tabs>
          <w:tab w:val="num" w:pos="1440"/>
        </w:tabs>
        <w:rPr>
          <w:rFonts w:eastAsia="STZhongsong"/>
          <w:szCs w:val="18"/>
        </w:rPr>
      </w:pPr>
      <w:r w:rsidRPr="009D134F">
        <w:rPr>
          <w:rFonts w:eastAsia="STZhongsong"/>
          <w:szCs w:val="18"/>
        </w:rPr>
        <w:t xml:space="preserve">If paragraph </w:t>
      </w:r>
      <w:r w:rsidR="00A10FED" w:rsidRPr="009D134F">
        <w:rPr>
          <w:rFonts w:eastAsia="STZhongsong"/>
          <w:szCs w:val="18"/>
        </w:rPr>
        <w:t>2</w:t>
      </w:r>
      <w:r w:rsidR="005C19F0">
        <w:rPr>
          <w:rFonts w:eastAsia="STZhongsong"/>
          <w:szCs w:val="18"/>
        </w:rPr>
        <w:t>.4</w:t>
      </w:r>
      <w:r w:rsidRPr="009D134F">
        <w:rPr>
          <w:rFonts w:eastAsia="STZhongsong"/>
          <w:szCs w:val="18"/>
        </w:rPr>
        <w:t xml:space="preserve"> above applies, the excess amount calculated for the pension adjustment is not included in any calculation of the</w:t>
      </w:r>
      <w:r w:rsidR="00A10FED" w:rsidRPr="009D134F">
        <w:rPr>
          <w:rFonts w:eastAsia="STZhongsong"/>
          <w:szCs w:val="18"/>
        </w:rPr>
        <w:t xml:space="preserve"> Direct Award</w:t>
      </w:r>
      <w:r w:rsidRPr="009D134F">
        <w:rPr>
          <w:rFonts w:eastAsia="STZhongsong"/>
          <w:szCs w:val="18"/>
        </w:rPr>
        <w:t xml:space="preserve"> TUPE Risk Premium Average.</w:t>
      </w:r>
    </w:p>
    <w:p w14:paraId="6AF7E32B" w14:textId="77777777" w:rsidR="002058A2" w:rsidRPr="009D134F" w:rsidRDefault="008C7712" w:rsidP="009D134F">
      <w:pPr>
        <w:pStyle w:val="GPSL2numberedclause"/>
        <w:keepNext/>
        <w:numPr>
          <w:ilvl w:val="1"/>
          <w:numId w:val="21"/>
        </w:numPr>
        <w:tabs>
          <w:tab w:val="num" w:pos="1440"/>
        </w:tabs>
        <w:rPr>
          <w:rFonts w:eastAsia="STZhongsong"/>
          <w:szCs w:val="18"/>
        </w:rPr>
      </w:pPr>
      <w:r w:rsidRPr="009D134F">
        <w:rPr>
          <w:rFonts w:eastAsia="STZhongsong"/>
          <w:szCs w:val="18"/>
        </w:rPr>
        <w:t>Any pension adjustment agreed by the Buyer over the Employer Pension Contribution Cap or in respect of Other Pension Cost shall be paid within timescales as agreed between Buyer and Supplier.</w:t>
      </w:r>
    </w:p>
    <w:p w14:paraId="42D2EAD9" w14:textId="77777777" w:rsidR="002058A2" w:rsidRDefault="008C7712">
      <w:pPr>
        <w:pStyle w:val="ListParagraph"/>
        <w:numPr>
          <w:ilvl w:val="0"/>
          <w:numId w:val="17"/>
        </w:numPr>
        <w:rPr>
          <w:rFonts w:eastAsia="STZhongsong"/>
          <w:b/>
          <w:szCs w:val="18"/>
        </w:rPr>
      </w:pPr>
      <w:r>
        <w:rPr>
          <w:rFonts w:eastAsia="STZhongsong"/>
          <w:b/>
          <w:szCs w:val="18"/>
        </w:rPr>
        <w:t>COST OF CHANGE</w:t>
      </w:r>
    </w:p>
    <w:p w14:paraId="308854FC" w14:textId="77777777" w:rsidR="002058A2" w:rsidRDefault="008C7712" w:rsidP="009D134F">
      <w:pPr>
        <w:pStyle w:val="GPSL2numberedclause"/>
        <w:rPr>
          <w:rFonts w:eastAsia="STZhongsong"/>
        </w:rPr>
      </w:pPr>
      <w:r>
        <w:rPr>
          <w:rFonts w:eastAsia="STZhongsong"/>
        </w:rPr>
        <w:t>There shall be no Cost of Change</w:t>
      </w:r>
      <w:r w:rsidR="006D1752">
        <w:rPr>
          <w:rFonts w:eastAsia="STZhongsong"/>
        </w:rPr>
        <w:t xml:space="preserve"> for the</w:t>
      </w:r>
      <w:r w:rsidR="009A3FAD">
        <w:rPr>
          <w:rFonts w:eastAsia="STZhongsong"/>
        </w:rPr>
        <w:t xml:space="preserve"> Direct Award TUPE Risk Premium</w:t>
      </w:r>
    </w:p>
    <w:p w14:paraId="79310C54" w14:textId="77777777" w:rsidR="002058A2" w:rsidRDefault="008C7712">
      <w:pPr>
        <w:spacing w:after="0"/>
        <w:jc w:val="left"/>
      </w:pPr>
      <w:r>
        <w:rPr>
          <w:rFonts w:eastAsia="STZhongsong"/>
          <w:szCs w:val="18"/>
        </w:rPr>
        <w:t xml:space="preserve"> </w:t>
      </w:r>
    </w:p>
    <w:sectPr w:rsidR="002058A2">
      <w:headerReference w:type="default" r:id="rId8"/>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34CF2" w14:textId="77777777" w:rsidR="0028613D" w:rsidRDefault="0028613D">
      <w:pPr>
        <w:spacing w:after="0"/>
        <w:rPr>
          <w:szCs w:val="24"/>
        </w:rPr>
      </w:pPr>
      <w:r>
        <w:rPr>
          <w:szCs w:val="24"/>
        </w:rPr>
        <w:separator/>
      </w:r>
    </w:p>
  </w:endnote>
  <w:endnote w:type="continuationSeparator" w:id="0">
    <w:p w14:paraId="1B48098D" w14:textId="77777777" w:rsidR="0028613D" w:rsidRDefault="0028613D">
      <w:pPr>
        <w:spacing w:after="0"/>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Zhongsong">
    <w:altName w:val="Malgun Gothic Semilight"/>
    <w:charset w:val="00"/>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227FD" w14:textId="77777777" w:rsidR="0028613D" w:rsidRDefault="0028613D">
      <w:pPr>
        <w:spacing w:after="0"/>
        <w:rPr>
          <w:szCs w:val="24"/>
        </w:rPr>
      </w:pPr>
      <w:r>
        <w:rPr>
          <w:szCs w:val="24"/>
        </w:rPr>
        <w:separator/>
      </w:r>
    </w:p>
  </w:footnote>
  <w:footnote w:type="continuationSeparator" w:id="0">
    <w:p w14:paraId="3612C5CF" w14:textId="77777777" w:rsidR="0028613D" w:rsidRDefault="0028613D">
      <w:pPr>
        <w:spacing w:after="0"/>
        <w:rPr>
          <w:szCs w:val="24"/>
        </w:rPr>
      </w:pPr>
      <w:r>
        <w:rPr>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E6194" w14:textId="295E7DA0" w:rsidR="002058A2" w:rsidRPr="008C7712" w:rsidRDefault="00574ECB">
    <w:pPr>
      <w:tabs>
        <w:tab w:val="center" w:pos="4513"/>
        <w:tab w:val="right" w:pos="9026"/>
      </w:tabs>
      <w:spacing w:after="0"/>
      <w:jc w:val="left"/>
      <w:rPr>
        <w:rFonts w:cs="Times New Roman"/>
        <w:b/>
        <w:szCs w:val="24"/>
      </w:rPr>
    </w:pPr>
    <w:r>
      <w:rPr>
        <w:noProof/>
      </w:rPr>
      <w:drawing>
        <wp:anchor distT="0" distB="0" distL="114300" distR="114300" simplePos="0" relativeHeight="251657728" behindDoc="0" locked="0" layoutInCell="1" allowOverlap="1" wp14:anchorId="3CC16622" wp14:editId="62780B5A">
          <wp:simplePos x="0" y="0"/>
          <wp:positionH relativeFrom="column">
            <wp:posOffset>5041265</wp:posOffset>
          </wp:positionH>
          <wp:positionV relativeFrom="paragraph">
            <wp:posOffset>-271780</wp:posOffset>
          </wp:positionV>
          <wp:extent cx="848995" cy="685800"/>
          <wp:effectExtent l="0" t="0" r="8255" b="0"/>
          <wp:wrapNone/>
          <wp:docPr id="1" name="Picture 2" descr="Crown Commercia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wn Commercial Servi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pic:spPr>
              </pic:pic>
            </a:graphicData>
          </a:graphic>
          <wp14:sizeRelH relativeFrom="margin">
            <wp14:pctWidth>0</wp14:pctWidth>
          </wp14:sizeRelH>
          <wp14:sizeRelV relativeFrom="margin">
            <wp14:pctHeight>0</wp14:pctHeight>
          </wp14:sizeRelV>
        </wp:anchor>
      </w:drawing>
    </w:r>
    <w:r w:rsidR="008C7712" w:rsidRPr="008C7712">
      <w:rPr>
        <w:b/>
      </w:rPr>
      <w:t xml:space="preserve">Call-Off Schedule 6 (TUPE Surcharge) </w:t>
    </w:r>
    <w:r w:rsidR="007A1138">
      <w:rPr>
        <w:b/>
      </w:rPr>
      <w:t xml:space="preserve">Direct Award </w:t>
    </w:r>
    <w:r w:rsidR="00612E94">
      <w:rPr>
        <w:b/>
      </w:rPr>
      <w:t>v1.0</w:t>
    </w:r>
  </w:p>
  <w:p w14:paraId="3F62541D" w14:textId="77777777" w:rsidR="002058A2" w:rsidRDefault="008C7712">
    <w:pPr>
      <w:tabs>
        <w:tab w:val="center" w:pos="4513"/>
        <w:tab w:val="right" w:pos="9026"/>
      </w:tabs>
      <w:spacing w:after="0"/>
      <w:jc w:val="left"/>
      <w:rPr>
        <w:szCs w:val="16"/>
      </w:rPr>
    </w:pPr>
    <w:r w:rsidRPr="008C7712">
      <w:t>Crown Copyright</w:t>
    </w:r>
    <w:r>
      <w:rPr>
        <w:color w:val="000000"/>
        <w:sz w:val="16"/>
        <w:szCs w:val="16"/>
      </w:rPr>
      <w:t xml:space="preserve"> </w:t>
    </w:r>
    <w:r w:rsidRPr="008C7712">
      <w:rPr>
        <w:color w:val="000000"/>
        <w:szCs w:val="16"/>
      </w:rPr>
      <w:t>201</w:t>
    </w:r>
    <w:r w:rsidR="009A3FAD">
      <w:rPr>
        <w:color w:val="000000"/>
        <w:szCs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569569A5"/>
    <w:lvl w:ilvl="0">
      <w:numFmt w:val="decimal"/>
      <w:lvlText w:val="•"/>
      <w:lvlJc w:val="left"/>
      <w:rPr>
        <w:rFonts w:cs="Times New Roman"/>
      </w:rPr>
    </w:lvl>
  </w:abstractNum>
  <w:abstractNum w:abstractNumId="1" w15:restartNumberingAfterBreak="0">
    <w:nsid w:val="00000002"/>
    <w:multiLevelType w:val="singleLevel"/>
    <w:tmpl w:val="A459E69A"/>
    <w:lvl w:ilvl="0">
      <w:numFmt w:val="decimal"/>
      <w:lvlText w:val="a."/>
      <w:lvlJc w:val="left"/>
      <w:rPr>
        <w:rFonts w:cs="Times New Roman"/>
      </w:rPr>
    </w:lvl>
  </w:abstractNum>
  <w:abstractNum w:abstractNumId="2" w15:restartNumberingAfterBreak="0">
    <w:nsid w:val="00000003"/>
    <w:multiLevelType w:val="singleLevel"/>
    <w:tmpl w:val="53BDA94A"/>
    <w:lvl w:ilvl="0">
      <w:numFmt w:val="decimal"/>
      <w:lvlText w:val="b."/>
      <w:lvlJc w:val="left"/>
      <w:rPr>
        <w:rFonts w:cs="Times New Roman"/>
      </w:rPr>
    </w:lvl>
  </w:abstractNum>
  <w:abstractNum w:abstractNumId="3" w15:restartNumberingAfterBreak="0">
    <w:nsid w:val="00000004"/>
    <w:multiLevelType w:val="singleLevel"/>
    <w:tmpl w:val="B3D68D49"/>
    <w:lvl w:ilvl="0">
      <w:numFmt w:val="decimal"/>
      <w:lvlText w:val="•"/>
      <w:lvlJc w:val="left"/>
      <w:rPr>
        <w:rFonts w:cs="Times New Roman"/>
      </w:rPr>
    </w:lvl>
  </w:abstractNum>
  <w:abstractNum w:abstractNumId="4" w15:restartNumberingAfterBreak="0">
    <w:nsid w:val="00000005"/>
    <w:multiLevelType w:val="singleLevel"/>
    <w:tmpl w:val="F4E73AF9"/>
    <w:lvl w:ilvl="0">
      <w:numFmt w:val="decimal"/>
      <w:lvlText w:val="•"/>
      <w:lvlJc w:val="left"/>
      <w:rPr>
        <w:rFonts w:cs="Times New Roman"/>
      </w:rPr>
    </w:lvl>
  </w:abstractNum>
  <w:abstractNum w:abstractNumId="5" w15:restartNumberingAfterBreak="0">
    <w:nsid w:val="00000006"/>
    <w:multiLevelType w:val="singleLevel"/>
    <w:tmpl w:val="5C6C51CC"/>
    <w:lvl w:ilvl="0">
      <w:numFmt w:val="decimal"/>
      <w:lvlText w:val="•"/>
      <w:lvlJc w:val="left"/>
      <w:rPr>
        <w:rFonts w:cs="Times New Roman"/>
      </w:rPr>
    </w:lvl>
  </w:abstractNum>
  <w:abstractNum w:abstractNumId="6" w15:restartNumberingAfterBreak="0">
    <w:nsid w:val="00000007"/>
    <w:multiLevelType w:val="hybridMultilevel"/>
    <w:tmpl w:val="2DBAB2B0"/>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7" w15:restartNumberingAfterBreak="0">
    <w:nsid w:val="00000008"/>
    <w:multiLevelType w:val="multilevel"/>
    <w:tmpl w:val="4336C8B6"/>
    <w:lvl w:ilvl="0">
      <w:start w:val="1"/>
      <w:numFmt w:val="none"/>
      <w:pStyle w:val="GPsDefinition"/>
      <w:lvlText w:val="%1"/>
      <w:lvlJc w:val="left"/>
      <w:pPr>
        <w:ind w:left="170" w:hanging="170"/>
      </w:pPr>
      <w:rPr>
        <w:rFonts w:ascii="Arial" w:hAnsi="Arial" w:cs="Times New Roman" w:hint="default"/>
        <w:sz w:val="22"/>
      </w:rPr>
    </w:lvl>
    <w:lvl w:ilvl="1">
      <w:start w:val="1"/>
      <w:numFmt w:val="lowerLetter"/>
      <w:pStyle w:val="GPSDefinitionL2"/>
      <w:lvlText w:val="%2)"/>
      <w:lvlJc w:val="left"/>
      <w:pPr>
        <w:ind w:left="720" w:hanging="360"/>
      </w:pPr>
      <w:rPr>
        <w:rFonts w:ascii="Calibri" w:hAnsi="Calibri" w:cs="Times New Roman"/>
        <w:b w:val="0"/>
        <w:bCs w:val="0"/>
        <w:i w:val="0"/>
        <w:iCs w:val="0"/>
        <w:caps w:val="0"/>
        <w:smallCaps w:val="0"/>
        <w:strike w:val="0"/>
        <w:dstrike w:val="0"/>
        <w:vanish w:val="0"/>
        <w:color w:val="000000"/>
        <w:spacing w:val="0"/>
        <w:kern w:val="0"/>
        <w:position w:val="0"/>
        <w:u w:val="none"/>
        <w:vertAlign w:val="baseline"/>
      </w:rPr>
    </w:lvl>
    <w:lvl w:ilvl="2">
      <w:start w:val="1"/>
      <w:numFmt w:val="lowerRoman"/>
      <w:pStyle w:val="GPSDefinitionL3"/>
      <w:lvlText w:val="%3)"/>
      <w:lvlJc w:val="left"/>
      <w:pPr>
        <w:ind w:left="1080" w:hanging="360"/>
      </w:pPr>
      <w:rPr>
        <w:rFonts w:ascii="Arial" w:hAnsi="Arial" w:cs="Times New Roman" w:hint="default"/>
        <w:sz w:val="22"/>
      </w:rPr>
    </w:lvl>
    <w:lvl w:ilvl="3">
      <w:start w:val="1"/>
      <w:numFmt w:val="decimal"/>
      <w:pStyle w:val="GPSDefinitionL4"/>
      <w:lvlText w:val="(%4)"/>
      <w:lvlJc w:val="left"/>
      <w:pPr>
        <w:ind w:left="1440" w:hanging="360"/>
      </w:pPr>
      <w:rPr>
        <w:rFonts w:ascii="Calibri" w:hAnsi="Calibri" w:cs="Times New Roman" w:hint="default"/>
      </w:rPr>
    </w:lvl>
    <w:lvl w:ilvl="4">
      <w:start w:val="1"/>
      <w:numFmt w:val="lowerLetter"/>
      <w:lvlText w:val="(%5)"/>
      <w:lvlJc w:val="left"/>
      <w:pPr>
        <w:ind w:left="1800" w:hanging="360"/>
      </w:pPr>
      <w:rPr>
        <w:rFonts w:cs="Times New Roman" w:hint="eastAsia"/>
      </w:rPr>
    </w:lvl>
    <w:lvl w:ilvl="5">
      <w:start w:val="1"/>
      <w:numFmt w:val="lowerRoman"/>
      <w:lvlText w:val="(%6)"/>
      <w:lvlJc w:val="left"/>
      <w:pPr>
        <w:ind w:left="2160" w:hanging="360"/>
      </w:pPr>
      <w:rPr>
        <w:rFonts w:cs="Times New Roman" w:hint="eastAsia"/>
      </w:rPr>
    </w:lvl>
    <w:lvl w:ilvl="6">
      <w:start w:val="1"/>
      <w:numFmt w:val="decimal"/>
      <w:lvlText w:val="%7"/>
      <w:lvlJc w:val="left"/>
      <w:pPr>
        <w:ind w:left="2520" w:hanging="360"/>
      </w:pPr>
      <w:rPr>
        <w:rFonts w:ascii="Arial" w:eastAsia="Times New Roman" w:hAnsi="Arial" w:cs="Arial"/>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8" w15:restartNumberingAfterBreak="0">
    <w:nsid w:val="00000009"/>
    <w:multiLevelType w:val="multilevel"/>
    <w:tmpl w:val="FCE6BE36"/>
    <w:lvl w:ilvl="0">
      <w:start w:val="1"/>
      <w:numFmt w:val="decimal"/>
      <w:lvlText w:val="%1."/>
      <w:lvlJc w:val="left"/>
      <w:pPr>
        <w:ind w:left="502" w:hanging="360"/>
      </w:pPr>
      <w:rPr>
        <w:rFonts w:cs="Times New Roman"/>
        <w:bCs w:val="0"/>
        <w:iCs w:val="0"/>
        <w:caps w:val="0"/>
        <w:smallCaps w:val="0"/>
        <w:strike w:val="0"/>
        <w:dstrike w:val="0"/>
        <w:vanish w:val="0"/>
        <w:color w:val="000000"/>
        <w:spacing w:val="0"/>
        <w:kern w:val="0"/>
        <w:position w:val="0"/>
        <w:u w:val="none"/>
        <w:vertAlign w:val="baseline"/>
      </w:rPr>
    </w:lvl>
    <w:lvl w:ilvl="1">
      <w:start w:val="1"/>
      <w:numFmt w:val="decimal"/>
      <w:isLgl/>
      <w:lvlText w:val="%1.%2"/>
      <w:lvlJc w:val="left"/>
      <w:pPr>
        <w:ind w:left="786" w:hanging="36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2">
      <w:start w:val="1"/>
      <w:numFmt w:val="decimal"/>
      <w:isLgl/>
      <w:lvlText w:val="%1.%2.%3"/>
      <w:lvlJc w:val="left"/>
      <w:pPr>
        <w:ind w:left="578" w:hanging="720"/>
      </w:pPr>
      <w:rPr>
        <w:rFonts w:cs="Times New Roman"/>
        <w:bCs w:val="0"/>
        <w:i w:val="0"/>
        <w:iCs w:val="0"/>
        <w:caps w:val="0"/>
        <w:smallCaps w:val="0"/>
        <w:strike w:val="0"/>
        <w:dstrike w:val="0"/>
        <w:vanish w:val="0"/>
        <w:color w:val="000000"/>
        <w:spacing w:val="0"/>
        <w:kern w:val="0"/>
        <w:position w:val="0"/>
        <w:u w:val="none"/>
        <w:effect w:val="none"/>
        <w:vertAlign w:val="baseline"/>
      </w:rPr>
    </w:lvl>
    <w:lvl w:ilvl="3">
      <w:start w:val="1"/>
      <w:numFmt w:val="lowerLetter"/>
      <w:lvlText w:val="(%4)"/>
      <w:lvlJc w:val="left"/>
      <w:pPr>
        <w:ind w:left="313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4">
      <w:start w:val="1"/>
      <w:numFmt w:val="lowerRoman"/>
      <w:lvlText w:val="(%5)"/>
      <w:lvlJc w:val="left"/>
      <w:pPr>
        <w:ind w:left="3207"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5">
      <w:start w:val="1"/>
      <w:numFmt w:val="upperLetter"/>
      <w:lvlText w:val="(%6)"/>
      <w:lvlJc w:val="left"/>
      <w:pPr>
        <w:ind w:left="1298" w:hanging="1080"/>
      </w:pPr>
      <w:rPr>
        <w:rFonts w:cs="Times New Roman"/>
        <w:b w:val="0"/>
        <w:bCs w:val="0"/>
        <w:i w:val="0"/>
        <w:iCs w:val="0"/>
        <w:caps w:val="0"/>
        <w:smallCaps w:val="0"/>
        <w:strike w:val="0"/>
        <w:dstrike w:val="0"/>
        <w:vanish w:val="0"/>
        <w:color w:val="000000"/>
        <w:spacing w:val="0"/>
        <w:kern w:val="0"/>
        <w:position w:val="0"/>
        <w:u w:val="none"/>
        <w:vertAlign w:val="baseline"/>
      </w:rPr>
    </w:lvl>
    <w:lvl w:ilvl="6">
      <w:start w:val="1"/>
      <w:numFmt w:val="decimal"/>
      <w:isLgl/>
      <w:lvlText w:val="%1.%2.%3.%4.%5.%6.%7"/>
      <w:lvlJc w:val="left"/>
      <w:pPr>
        <w:ind w:left="1658" w:hanging="1440"/>
      </w:pPr>
      <w:rPr>
        <w:rFonts w:cs="Times New Roman" w:hint="eastAsia"/>
      </w:rPr>
    </w:lvl>
    <w:lvl w:ilvl="7">
      <w:start w:val="1"/>
      <w:numFmt w:val="decimal"/>
      <w:isLgl/>
      <w:lvlText w:val="%1.%2.%3.%4.%5.%6.%7.%8"/>
      <w:lvlJc w:val="left"/>
      <w:pPr>
        <w:ind w:left="1658" w:hanging="1440"/>
      </w:pPr>
      <w:rPr>
        <w:rFonts w:cs="Times New Roman" w:hint="eastAsia"/>
      </w:rPr>
    </w:lvl>
    <w:lvl w:ilvl="8">
      <w:start w:val="1"/>
      <w:numFmt w:val="decimal"/>
      <w:isLgl/>
      <w:lvlText w:val="%1.%2.%3.%4.%5.%6.%7.%8.%9"/>
      <w:lvlJc w:val="left"/>
      <w:pPr>
        <w:ind w:left="2018" w:hanging="1800"/>
      </w:pPr>
      <w:rPr>
        <w:rFonts w:cs="Times New Roman" w:hint="eastAsia"/>
      </w:rPr>
    </w:lvl>
  </w:abstractNum>
  <w:abstractNum w:abstractNumId="9" w15:restartNumberingAfterBreak="0">
    <w:nsid w:val="0000000A"/>
    <w:multiLevelType w:val="multilevel"/>
    <w:tmpl w:val="95E86708"/>
    <w:lvl w:ilvl="0">
      <w:start w:val="1"/>
      <w:numFmt w:val="decimal"/>
      <w:lvlText w:val="%1."/>
      <w:lvlJc w:val="left"/>
      <w:pPr>
        <w:tabs>
          <w:tab w:val="num" w:pos="720"/>
        </w:tabs>
        <w:ind w:left="720" w:hanging="720"/>
      </w:pPr>
      <w:rPr>
        <w:rFonts w:cs="Times New Roman" w:hint="eastAsia"/>
        <w:bCs w:val="0"/>
        <w:iCs w:val="0"/>
        <w:caps w:val="0"/>
        <w:smallCaps w:val="0"/>
        <w:strike w:val="0"/>
        <w:dstrike w:val="0"/>
        <w:vanish w:val="0"/>
        <w:color w:val="000000"/>
        <w:spacing w:val="0"/>
        <w:kern w:val="0"/>
        <w:position w:val="0"/>
        <w:u w:val="none"/>
        <w:vertAlign w:val="baseline"/>
      </w:rPr>
    </w:lvl>
    <w:lvl w:ilvl="1">
      <w:start w:val="1"/>
      <w:numFmt w:val="decimal"/>
      <w:isLgl/>
      <w:lvlText w:val="%1.%2"/>
      <w:lvlJc w:val="left"/>
      <w:pPr>
        <w:ind w:left="786" w:hanging="36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2">
      <w:start w:val="1"/>
      <w:numFmt w:val="decimal"/>
      <w:isLgl/>
      <w:lvlText w:val="%1.%2.%3"/>
      <w:lvlJc w:val="left"/>
      <w:pPr>
        <w:ind w:left="578" w:hanging="720"/>
      </w:pPr>
      <w:rPr>
        <w:rFonts w:cs="Times New Roman" w:hint="eastAsia"/>
        <w:bCs w:val="0"/>
        <w:i w:val="0"/>
        <w:iCs w:val="0"/>
        <w:caps w:val="0"/>
        <w:smallCaps w:val="0"/>
        <w:strike w:val="0"/>
        <w:dstrike w:val="0"/>
        <w:vanish w:val="0"/>
        <w:color w:val="000000"/>
        <w:spacing w:val="0"/>
        <w:kern w:val="0"/>
        <w:position w:val="0"/>
        <w:u w:val="none"/>
        <w:effect w:val="none"/>
        <w:vertAlign w:val="baseline"/>
      </w:rPr>
    </w:lvl>
    <w:lvl w:ilvl="3">
      <w:start w:val="1"/>
      <w:numFmt w:val="lowerLetter"/>
      <w:lvlText w:val="(%4)"/>
      <w:lvlJc w:val="left"/>
      <w:pPr>
        <w:ind w:left="313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4">
      <w:start w:val="1"/>
      <w:numFmt w:val="lowerRoman"/>
      <w:lvlText w:val="(%5)"/>
      <w:lvlJc w:val="left"/>
      <w:pPr>
        <w:ind w:left="3207"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5">
      <w:start w:val="1"/>
      <w:numFmt w:val="upperLetter"/>
      <w:lvlText w:val="(%6)"/>
      <w:lvlJc w:val="left"/>
      <w:pPr>
        <w:ind w:left="1298"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6">
      <w:start w:val="1"/>
      <w:numFmt w:val="decimal"/>
      <w:isLgl/>
      <w:lvlText w:val="%1.%2.%3.%4.%5.%6.%7"/>
      <w:lvlJc w:val="left"/>
      <w:pPr>
        <w:ind w:left="1658" w:hanging="1440"/>
      </w:pPr>
      <w:rPr>
        <w:rFonts w:cs="Times New Roman" w:hint="eastAsia"/>
      </w:rPr>
    </w:lvl>
    <w:lvl w:ilvl="7">
      <w:start w:val="1"/>
      <w:numFmt w:val="decimal"/>
      <w:isLgl/>
      <w:lvlText w:val="%1.%2.%3.%4.%5.%6.%7.%8"/>
      <w:lvlJc w:val="left"/>
      <w:pPr>
        <w:ind w:left="1658" w:hanging="1440"/>
      </w:pPr>
      <w:rPr>
        <w:rFonts w:cs="Times New Roman" w:hint="eastAsia"/>
      </w:rPr>
    </w:lvl>
    <w:lvl w:ilvl="8">
      <w:start w:val="1"/>
      <w:numFmt w:val="decimal"/>
      <w:isLgl/>
      <w:lvlText w:val="%1.%2.%3.%4.%5.%6.%7.%8.%9"/>
      <w:lvlJc w:val="left"/>
      <w:pPr>
        <w:ind w:left="2018" w:hanging="1800"/>
      </w:pPr>
      <w:rPr>
        <w:rFonts w:cs="Times New Roman" w:hint="eastAsia"/>
      </w:rPr>
    </w:lvl>
  </w:abstractNum>
  <w:abstractNum w:abstractNumId="10" w15:restartNumberingAfterBreak="0">
    <w:nsid w:val="0000000B"/>
    <w:multiLevelType w:val="multilevel"/>
    <w:tmpl w:val="FF3AD6AC"/>
    <w:lvl w:ilvl="0">
      <w:start w:val="1"/>
      <w:numFmt w:val="decimal"/>
      <w:lvlText w:val="%1."/>
      <w:lvlJc w:val="left"/>
      <w:pPr>
        <w:tabs>
          <w:tab w:val="num" w:pos="499"/>
        </w:tabs>
        <w:ind w:left="502" w:hanging="360"/>
      </w:pPr>
      <w:rPr>
        <w:rFonts w:cs="Times New Roman" w:hint="eastAsia"/>
      </w:rPr>
    </w:lvl>
    <w:lvl w:ilvl="1">
      <w:start w:val="1"/>
      <w:numFmt w:val="decimal"/>
      <w:pStyle w:val="GPSL2numberedclause"/>
      <w:lvlText w:val="%1.%2."/>
      <w:lvlJc w:val="left"/>
      <w:pPr>
        <w:tabs>
          <w:tab w:val="num" w:pos="1078"/>
        </w:tabs>
        <w:ind w:left="1078" w:hanging="579"/>
      </w:pPr>
      <w:rPr>
        <w:rFonts w:ascii="Calibri" w:hAnsi="Calibri" w:cs="Times New Roman" w:hint="default"/>
        <w:b w:val="0"/>
      </w:rPr>
    </w:lvl>
    <w:lvl w:ilvl="2">
      <w:start w:val="1"/>
      <w:numFmt w:val="decimal"/>
      <w:pStyle w:val="GPSL3numberedclause"/>
      <w:lvlText w:val="%1.%2.%3."/>
      <w:lvlJc w:val="left"/>
      <w:pPr>
        <w:tabs>
          <w:tab w:val="num" w:pos="1798"/>
        </w:tabs>
        <w:ind w:left="1798" w:hanging="720"/>
      </w:pPr>
      <w:rPr>
        <w:rFonts w:ascii="Calibri" w:hAnsi="Calibri" w:cs="Times New Roman" w:hint="default"/>
        <w:b w:val="0"/>
      </w:rPr>
    </w:lvl>
    <w:lvl w:ilvl="3">
      <w:start w:val="1"/>
      <w:numFmt w:val="lowerLetter"/>
      <w:pStyle w:val="GPSL4numberedclause"/>
      <w:lvlText w:val="(%4)"/>
      <w:lvlJc w:val="left"/>
      <w:pPr>
        <w:tabs>
          <w:tab w:val="num" w:pos="2733"/>
        </w:tabs>
        <w:ind w:left="2733" w:hanging="935"/>
      </w:pPr>
      <w:rPr>
        <w:rFonts w:ascii="Calibri" w:hAnsi="Calibri" w:cs="Times New Roman" w:hint="default"/>
        <w:b w:val="0"/>
      </w:rPr>
    </w:lvl>
    <w:lvl w:ilvl="4">
      <w:start w:val="1"/>
      <w:numFmt w:val="lowerRoman"/>
      <w:pStyle w:val="GPSL5numberedclause"/>
      <w:lvlText w:val="(%5)"/>
      <w:lvlJc w:val="left"/>
      <w:pPr>
        <w:tabs>
          <w:tab w:val="num" w:pos="3261"/>
        </w:tabs>
        <w:ind w:left="3261" w:hanging="567"/>
      </w:pPr>
      <w:rPr>
        <w:rFonts w:ascii="Calibri" w:hAnsi="Calibri" w:cs="Times New Roman" w:hint="default"/>
      </w:rPr>
    </w:lvl>
    <w:lvl w:ilvl="5">
      <w:start w:val="1"/>
      <w:numFmt w:val="decimal"/>
      <w:lvlText w:val="%1.%2.%3.%4.%5.%6."/>
      <w:lvlJc w:val="left"/>
      <w:pPr>
        <w:ind w:left="2878" w:hanging="936"/>
      </w:pPr>
      <w:rPr>
        <w:rFonts w:cs="Times New Roman" w:hint="eastAsia"/>
      </w:rPr>
    </w:lvl>
    <w:lvl w:ilvl="6">
      <w:start w:val="1"/>
      <w:numFmt w:val="decimal"/>
      <w:lvlText w:val="%1.%2.%3.%4.%5.%6.%7."/>
      <w:lvlJc w:val="left"/>
      <w:pPr>
        <w:ind w:left="3382" w:hanging="1080"/>
      </w:pPr>
      <w:rPr>
        <w:rFonts w:cs="Times New Roman" w:hint="eastAsia"/>
      </w:rPr>
    </w:lvl>
    <w:lvl w:ilvl="7">
      <w:start w:val="1"/>
      <w:numFmt w:val="decimal"/>
      <w:lvlText w:val="%1.%2.%3.%4.%5.%6.%7.%8."/>
      <w:lvlJc w:val="left"/>
      <w:pPr>
        <w:ind w:left="3886" w:hanging="1224"/>
      </w:pPr>
      <w:rPr>
        <w:rFonts w:cs="Times New Roman" w:hint="eastAsia"/>
      </w:rPr>
    </w:lvl>
    <w:lvl w:ilvl="8">
      <w:start w:val="1"/>
      <w:numFmt w:val="decimal"/>
      <w:lvlText w:val="%1.%2.%3.%4.%5.%6.%7.%8.%9."/>
      <w:lvlJc w:val="left"/>
      <w:pPr>
        <w:ind w:left="4462" w:hanging="1440"/>
      </w:pPr>
      <w:rPr>
        <w:rFonts w:cs="Times New Roman" w:hint="eastAsia"/>
      </w:rPr>
    </w:lvl>
  </w:abstractNum>
  <w:abstractNum w:abstractNumId="11" w15:restartNumberingAfterBreak="0">
    <w:nsid w:val="0000000C"/>
    <w:multiLevelType w:val="multilevel"/>
    <w:tmpl w:val="28C0D72C"/>
    <w:lvl w:ilvl="0">
      <w:start w:val="2"/>
      <w:numFmt w:val="decimal"/>
      <w:lvlText w:val="%1"/>
      <w:lvlJc w:val="left"/>
      <w:pPr>
        <w:ind w:left="600" w:hanging="600"/>
      </w:pPr>
      <w:rPr>
        <w:rFonts w:cs="Times New Roman" w:hint="cs"/>
      </w:rPr>
    </w:lvl>
    <w:lvl w:ilvl="1">
      <w:start w:val="3"/>
      <w:numFmt w:val="decimal"/>
      <w:lvlText w:val="%1.%2"/>
      <w:lvlJc w:val="left"/>
      <w:pPr>
        <w:ind w:left="1199" w:hanging="600"/>
      </w:pPr>
      <w:rPr>
        <w:rFonts w:cs="Times New Roman" w:hint="default"/>
      </w:rPr>
    </w:lvl>
    <w:lvl w:ilvl="2">
      <w:start w:val="4"/>
      <w:numFmt w:val="decimal"/>
      <w:lvlText w:val="%1.%2.%3"/>
      <w:lvlJc w:val="left"/>
      <w:pPr>
        <w:ind w:left="1918" w:hanging="720"/>
      </w:pPr>
      <w:rPr>
        <w:rFonts w:cs="Times New Roman" w:hint="default"/>
      </w:rPr>
    </w:lvl>
    <w:lvl w:ilvl="3">
      <w:start w:val="1"/>
      <w:numFmt w:val="decimal"/>
      <w:lvlText w:val="%1.%2.%3.%4"/>
      <w:lvlJc w:val="left"/>
      <w:pPr>
        <w:ind w:left="2517" w:hanging="720"/>
      </w:pPr>
      <w:rPr>
        <w:rFonts w:cs="Times New Roman" w:hint="eastAsia"/>
      </w:rPr>
    </w:lvl>
    <w:lvl w:ilvl="4">
      <w:start w:val="1"/>
      <w:numFmt w:val="decimal"/>
      <w:lvlText w:val="%1.%2.%3.%4.%5"/>
      <w:lvlJc w:val="left"/>
      <w:pPr>
        <w:ind w:left="3476" w:hanging="1080"/>
      </w:pPr>
      <w:rPr>
        <w:rFonts w:cs="Times New Roman" w:hint="eastAsia"/>
      </w:rPr>
    </w:lvl>
    <w:lvl w:ilvl="5">
      <w:start w:val="1"/>
      <w:numFmt w:val="decimal"/>
      <w:lvlText w:val="%1.%2.%3.%4.%5.%6"/>
      <w:lvlJc w:val="left"/>
      <w:pPr>
        <w:ind w:left="4075" w:hanging="1080"/>
      </w:pPr>
      <w:rPr>
        <w:rFonts w:cs="Times New Roman" w:hint="eastAsia"/>
      </w:rPr>
    </w:lvl>
    <w:lvl w:ilvl="6">
      <w:start w:val="1"/>
      <w:numFmt w:val="decimal"/>
      <w:lvlText w:val="%1.%2.%3.%4.%5.%6.%7"/>
      <w:lvlJc w:val="left"/>
      <w:pPr>
        <w:ind w:left="5034" w:hanging="1440"/>
      </w:pPr>
      <w:rPr>
        <w:rFonts w:cs="Times New Roman" w:hint="eastAsia"/>
      </w:rPr>
    </w:lvl>
    <w:lvl w:ilvl="7">
      <w:start w:val="1"/>
      <w:numFmt w:val="decimal"/>
      <w:lvlText w:val="%1.%2.%3.%4.%5.%6.%7.%8"/>
      <w:lvlJc w:val="left"/>
      <w:pPr>
        <w:ind w:left="5633" w:hanging="1440"/>
      </w:pPr>
      <w:rPr>
        <w:rFonts w:cs="Times New Roman" w:hint="eastAsia"/>
      </w:rPr>
    </w:lvl>
    <w:lvl w:ilvl="8">
      <w:start w:val="1"/>
      <w:numFmt w:val="decimal"/>
      <w:lvlText w:val="%1.%2.%3.%4.%5.%6.%7.%8.%9"/>
      <w:lvlJc w:val="left"/>
      <w:pPr>
        <w:ind w:left="6232" w:hanging="1440"/>
      </w:pPr>
      <w:rPr>
        <w:rFonts w:cs="Times New Roman" w:hint="eastAsia"/>
      </w:rPr>
    </w:lvl>
  </w:abstractNum>
  <w:abstractNum w:abstractNumId="12" w15:restartNumberingAfterBreak="0">
    <w:nsid w:val="0000000D"/>
    <w:multiLevelType w:val="singleLevel"/>
    <w:tmpl w:val="AC5ECAF0"/>
    <w:lvl w:ilvl="0">
      <w:numFmt w:val="decimal"/>
      <w:lvlText w:val="•"/>
      <w:lvlJc w:val="left"/>
      <w:rPr>
        <w:rFonts w:cs="Times New Roman"/>
      </w:rPr>
    </w:lvl>
  </w:abstractNum>
  <w:abstractNum w:abstractNumId="13" w15:restartNumberingAfterBreak="0">
    <w:nsid w:val="0000000E"/>
    <w:multiLevelType w:val="multilevel"/>
    <w:tmpl w:val="4856989C"/>
    <w:lvl w:ilvl="0">
      <w:start w:val="1"/>
      <w:numFmt w:val="decimal"/>
      <w:lvlText w:val="%1."/>
      <w:lvlJc w:val="left"/>
      <w:pPr>
        <w:tabs>
          <w:tab w:val="num" w:pos="720"/>
        </w:tabs>
        <w:ind w:left="720" w:hanging="720"/>
      </w:pPr>
      <w:rPr>
        <w:rFonts w:cs="Times New Roman" w:hint="eastAsia"/>
        <w:bCs w:val="0"/>
        <w:iCs w:val="0"/>
        <w:caps w:val="0"/>
        <w:smallCaps w:val="0"/>
        <w:strike w:val="0"/>
        <w:dstrike w:val="0"/>
        <w:vanish w:val="0"/>
        <w:color w:val="000000"/>
        <w:spacing w:val="0"/>
        <w:kern w:val="0"/>
        <w:position w:val="0"/>
        <w:u w:val="none"/>
        <w:vertAlign w:val="baseline"/>
      </w:rPr>
    </w:lvl>
    <w:lvl w:ilvl="1">
      <w:start w:val="1"/>
      <w:numFmt w:val="decimal"/>
      <w:isLgl/>
      <w:lvlText w:val="%1.%2"/>
      <w:lvlJc w:val="left"/>
      <w:pPr>
        <w:tabs>
          <w:tab w:val="num" w:pos="720"/>
        </w:tabs>
        <w:ind w:left="72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2">
      <w:start w:val="1"/>
      <w:numFmt w:val="decimal"/>
      <w:isLgl/>
      <w:lvlText w:val="%1.%2.%3"/>
      <w:lvlJc w:val="left"/>
      <w:pPr>
        <w:ind w:left="578" w:hanging="720"/>
      </w:pPr>
      <w:rPr>
        <w:rFonts w:cs="Times New Roman" w:hint="eastAsia"/>
        <w:bCs w:val="0"/>
        <w:i w:val="0"/>
        <w:iCs w:val="0"/>
        <w:caps w:val="0"/>
        <w:smallCaps w:val="0"/>
        <w:strike w:val="0"/>
        <w:dstrike w:val="0"/>
        <w:vanish w:val="0"/>
        <w:color w:val="000000"/>
        <w:spacing w:val="0"/>
        <w:kern w:val="0"/>
        <w:position w:val="0"/>
        <w:u w:val="none"/>
        <w:effect w:val="none"/>
        <w:vertAlign w:val="baseline"/>
      </w:rPr>
    </w:lvl>
    <w:lvl w:ilvl="3">
      <w:start w:val="1"/>
      <w:numFmt w:val="lowerLetter"/>
      <w:lvlText w:val="(%4)"/>
      <w:lvlJc w:val="left"/>
      <w:pPr>
        <w:ind w:left="313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4">
      <w:start w:val="1"/>
      <w:numFmt w:val="lowerRoman"/>
      <w:lvlText w:val="(%5)"/>
      <w:lvlJc w:val="left"/>
      <w:pPr>
        <w:ind w:left="3207"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5">
      <w:start w:val="1"/>
      <w:numFmt w:val="upperLetter"/>
      <w:lvlText w:val="(%6)"/>
      <w:lvlJc w:val="left"/>
      <w:pPr>
        <w:ind w:left="1298"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6">
      <w:start w:val="1"/>
      <w:numFmt w:val="decimal"/>
      <w:isLgl/>
      <w:lvlText w:val="%1.%2.%3.%4.%5.%6.%7"/>
      <w:lvlJc w:val="left"/>
      <w:pPr>
        <w:ind w:left="1658" w:hanging="1440"/>
      </w:pPr>
      <w:rPr>
        <w:rFonts w:cs="Times New Roman" w:hint="eastAsia"/>
      </w:rPr>
    </w:lvl>
    <w:lvl w:ilvl="7">
      <w:start w:val="1"/>
      <w:numFmt w:val="decimal"/>
      <w:isLgl/>
      <w:lvlText w:val="%1.%2.%3.%4.%5.%6.%7.%8"/>
      <w:lvlJc w:val="left"/>
      <w:pPr>
        <w:ind w:left="1658" w:hanging="1440"/>
      </w:pPr>
      <w:rPr>
        <w:rFonts w:cs="Times New Roman" w:hint="eastAsia"/>
      </w:rPr>
    </w:lvl>
    <w:lvl w:ilvl="8">
      <w:start w:val="1"/>
      <w:numFmt w:val="decimal"/>
      <w:isLgl/>
      <w:lvlText w:val="%1.%2.%3.%4.%5.%6.%7.%8.%9"/>
      <w:lvlJc w:val="left"/>
      <w:pPr>
        <w:ind w:left="2018" w:hanging="1800"/>
      </w:pPr>
      <w:rPr>
        <w:rFonts w:cs="Times New Roman" w:hint="eastAsia"/>
      </w:rPr>
    </w:lvl>
  </w:abstractNum>
  <w:abstractNum w:abstractNumId="14" w15:restartNumberingAfterBreak="0">
    <w:nsid w:val="0000000F"/>
    <w:multiLevelType w:val="hybridMultilevel"/>
    <w:tmpl w:val="13E0DC72"/>
    <w:lvl w:ilvl="0" w:tplc="0809000F">
      <w:start w:val="1"/>
      <w:numFmt w:val="decimal"/>
      <w:lvlText w:val="%1."/>
      <w:lvlJc w:val="left"/>
      <w:pPr>
        <w:ind w:left="2518" w:hanging="360"/>
      </w:pPr>
      <w:rPr>
        <w:rFonts w:cs="Times New Roman"/>
      </w:rPr>
    </w:lvl>
    <w:lvl w:ilvl="1" w:tplc="08090019">
      <w:start w:val="1"/>
      <w:numFmt w:val="lowerLetter"/>
      <w:lvlText w:val="%2."/>
      <w:lvlJc w:val="left"/>
      <w:pPr>
        <w:ind w:left="3238" w:hanging="360"/>
      </w:pPr>
      <w:rPr>
        <w:rFonts w:cs="Times New Roman"/>
      </w:rPr>
    </w:lvl>
    <w:lvl w:ilvl="2" w:tplc="0809001B">
      <w:start w:val="1"/>
      <w:numFmt w:val="lowerRoman"/>
      <w:lvlText w:val="%3."/>
      <w:lvlJc w:val="right"/>
      <w:pPr>
        <w:ind w:left="3958" w:hanging="180"/>
      </w:pPr>
      <w:rPr>
        <w:rFonts w:cs="Times New Roman"/>
      </w:rPr>
    </w:lvl>
    <w:lvl w:ilvl="3" w:tplc="0809000F">
      <w:start w:val="1"/>
      <w:numFmt w:val="decimal"/>
      <w:lvlText w:val="%4."/>
      <w:lvlJc w:val="left"/>
      <w:pPr>
        <w:ind w:left="4678" w:hanging="360"/>
      </w:pPr>
      <w:rPr>
        <w:rFonts w:cs="Times New Roman"/>
      </w:rPr>
    </w:lvl>
    <w:lvl w:ilvl="4" w:tplc="08090019">
      <w:start w:val="1"/>
      <w:numFmt w:val="lowerLetter"/>
      <w:lvlText w:val="%5."/>
      <w:lvlJc w:val="left"/>
      <w:pPr>
        <w:ind w:left="5398" w:hanging="360"/>
      </w:pPr>
      <w:rPr>
        <w:rFonts w:cs="Times New Roman"/>
      </w:rPr>
    </w:lvl>
    <w:lvl w:ilvl="5" w:tplc="0809001B">
      <w:start w:val="1"/>
      <w:numFmt w:val="lowerRoman"/>
      <w:lvlText w:val="%6."/>
      <w:lvlJc w:val="right"/>
      <w:pPr>
        <w:ind w:left="6118" w:hanging="180"/>
      </w:pPr>
      <w:rPr>
        <w:rFonts w:cs="Times New Roman"/>
      </w:rPr>
    </w:lvl>
    <w:lvl w:ilvl="6" w:tplc="0809000F">
      <w:start w:val="1"/>
      <w:numFmt w:val="decimal"/>
      <w:lvlText w:val="%7."/>
      <w:lvlJc w:val="left"/>
      <w:pPr>
        <w:ind w:left="6838" w:hanging="360"/>
      </w:pPr>
      <w:rPr>
        <w:rFonts w:cs="Times New Roman"/>
      </w:rPr>
    </w:lvl>
    <w:lvl w:ilvl="7" w:tplc="08090019">
      <w:start w:val="1"/>
      <w:numFmt w:val="lowerLetter"/>
      <w:lvlText w:val="%8."/>
      <w:lvlJc w:val="left"/>
      <w:pPr>
        <w:ind w:left="7558" w:hanging="360"/>
      </w:pPr>
      <w:rPr>
        <w:rFonts w:cs="Times New Roman"/>
      </w:rPr>
    </w:lvl>
    <w:lvl w:ilvl="8" w:tplc="0809001B">
      <w:start w:val="1"/>
      <w:numFmt w:val="lowerRoman"/>
      <w:lvlText w:val="%9."/>
      <w:lvlJc w:val="right"/>
      <w:pPr>
        <w:ind w:left="8278" w:hanging="180"/>
      </w:pPr>
      <w:rPr>
        <w:rFonts w:cs="Times New Roman"/>
      </w:rPr>
    </w:lvl>
  </w:abstractNum>
  <w:abstractNum w:abstractNumId="15" w15:restartNumberingAfterBreak="0">
    <w:nsid w:val="00000010"/>
    <w:multiLevelType w:val="multilevel"/>
    <w:tmpl w:val="7FDCA026"/>
    <w:lvl w:ilvl="0">
      <w:start w:val="1"/>
      <w:numFmt w:val="decimal"/>
      <w:lvlText w:val="%1."/>
      <w:lvlJc w:val="left"/>
      <w:pPr>
        <w:tabs>
          <w:tab w:val="num" w:pos="720"/>
        </w:tabs>
        <w:ind w:left="720" w:hanging="720"/>
      </w:pPr>
      <w:rPr>
        <w:rFonts w:cs="Times New Roman" w:hint="eastAsia"/>
        <w:bCs w:val="0"/>
        <w:iCs w:val="0"/>
        <w:caps w:val="0"/>
        <w:smallCaps w:val="0"/>
        <w:strike w:val="0"/>
        <w:dstrike w:val="0"/>
        <w:vanish w:val="0"/>
        <w:color w:val="000000"/>
        <w:spacing w:val="0"/>
        <w:kern w:val="0"/>
        <w:position w:val="0"/>
        <w:u w:val="none"/>
        <w:vertAlign w:val="baseline"/>
      </w:rPr>
    </w:lvl>
    <w:lvl w:ilvl="1">
      <w:start w:val="1"/>
      <w:numFmt w:val="decimal"/>
      <w:isLgl/>
      <w:lvlText w:val="%1.%2"/>
      <w:lvlJc w:val="left"/>
      <w:pPr>
        <w:tabs>
          <w:tab w:val="num" w:pos="720"/>
        </w:tabs>
        <w:ind w:left="72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2">
      <w:start w:val="1"/>
      <w:numFmt w:val="decimal"/>
      <w:isLgl/>
      <w:lvlText w:val="%1.%2.%3"/>
      <w:lvlJc w:val="left"/>
      <w:pPr>
        <w:tabs>
          <w:tab w:val="num" w:pos="720"/>
        </w:tabs>
        <w:ind w:left="720" w:hanging="720"/>
      </w:pPr>
      <w:rPr>
        <w:rFonts w:cs="Times New Roman" w:hint="eastAsia"/>
        <w:bCs w:val="0"/>
        <w:i w:val="0"/>
        <w:iCs w:val="0"/>
        <w:caps w:val="0"/>
        <w:smallCaps w:val="0"/>
        <w:strike w:val="0"/>
        <w:dstrike w:val="0"/>
        <w:vanish w:val="0"/>
        <w:color w:val="000000"/>
        <w:spacing w:val="0"/>
        <w:kern w:val="0"/>
        <w:position w:val="0"/>
        <w:u w:val="none"/>
        <w:effect w:val="none"/>
        <w:vertAlign w:val="baseline"/>
      </w:rPr>
    </w:lvl>
    <w:lvl w:ilvl="3">
      <w:start w:val="1"/>
      <w:numFmt w:val="lowerLetter"/>
      <w:lvlText w:val="(%4)"/>
      <w:lvlJc w:val="left"/>
      <w:pPr>
        <w:ind w:left="313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4">
      <w:start w:val="1"/>
      <w:numFmt w:val="lowerRoman"/>
      <w:lvlText w:val="(%5)"/>
      <w:lvlJc w:val="left"/>
      <w:pPr>
        <w:ind w:left="3207"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5">
      <w:start w:val="1"/>
      <w:numFmt w:val="upperLetter"/>
      <w:lvlText w:val="(%6)"/>
      <w:lvlJc w:val="left"/>
      <w:pPr>
        <w:ind w:left="1298"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6">
      <w:start w:val="1"/>
      <w:numFmt w:val="decimal"/>
      <w:isLgl/>
      <w:lvlText w:val="%1.%2.%3.%4.%5.%6.%7"/>
      <w:lvlJc w:val="left"/>
      <w:pPr>
        <w:ind w:left="1658" w:hanging="1440"/>
      </w:pPr>
      <w:rPr>
        <w:rFonts w:cs="Times New Roman" w:hint="eastAsia"/>
      </w:rPr>
    </w:lvl>
    <w:lvl w:ilvl="7">
      <w:start w:val="1"/>
      <w:numFmt w:val="decimal"/>
      <w:isLgl/>
      <w:lvlText w:val="%1.%2.%3.%4.%5.%6.%7.%8"/>
      <w:lvlJc w:val="left"/>
      <w:pPr>
        <w:ind w:left="1658" w:hanging="1440"/>
      </w:pPr>
      <w:rPr>
        <w:rFonts w:cs="Times New Roman" w:hint="eastAsia"/>
      </w:rPr>
    </w:lvl>
    <w:lvl w:ilvl="8">
      <w:start w:val="1"/>
      <w:numFmt w:val="decimal"/>
      <w:isLgl/>
      <w:lvlText w:val="%1.%2.%3.%4.%5.%6.%7.%8.%9"/>
      <w:lvlJc w:val="left"/>
      <w:pPr>
        <w:ind w:left="2018" w:hanging="1800"/>
      </w:pPr>
      <w:rPr>
        <w:rFonts w:cs="Times New Roman" w:hint="eastAsia"/>
      </w:rPr>
    </w:lvl>
  </w:abstractNum>
  <w:abstractNum w:abstractNumId="16" w15:restartNumberingAfterBreak="0">
    <w:nsid w:val="00000011"/>
    <w:multiLevelType w:val="multilevel"/>
    <w:tmpl w:val="FE268958"/>
    <w:lvl w:ilvl="0">
      <w:start w:val="1"/>
      <w:numFmt w:val="decimal"/>
      <w:lvlText w:val="%1."/>
      <w:lvlJc w:val="left"/>
      <w:pPr>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rPr>
    </w:lvl>
    <w:lvl w:ilvl="1">
      <w:start w:val="1"/>
      <w:numFmt w:val="decimal"/>
      <w:isLgl/>
      <w:lvlText w:val="%1.%2"/>
      <w:lvlJc w:val="left"/>
      <w:pPr>
        <w:ind w:left="644" w:hanging="36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2422"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rPr>
    </w:lvl>
    <w:lvl w:ilvl="3">
      <w:start w:val="1"/>
      <w:numFmt w:val="lowerLetter"/>
      <w:lvlText w:val="(%4)"/>
      <w:lvlJc w:val="left"/>
      <w:pPr>
        <w:ind w:left="2563"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rPr>
    </w:lvl>
    <w:lvl w:ilvl="4">
      <w:start w:val="1"/>
      <w:numFmt w:val="lowerRoman"/>
      <w:lvlText w:val="(%5)"/>
      <w:lvlJc w:val="left"/>
      <w:pPr>
        <w:ind w:left="1440" w:hanging="108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5">
      <w:start w:val="1"/>
      <w:numFmt w:val="upperLetter"/>
      <w:lvlText w:val="(%6)"/>
      <w:lvlJc w:val="left"/>
      <w:pPr>
        <w:ind w:left="1440" w:hanging="108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6">
      <w:start w:val="1"/>
      <w:numFmt w:val="decimal"/>
      <w:isLgl/>
      <w:lvlText w:val="%1.%2.%3.%4.%5.%6.%7"/>
      <w:lvlJc w:val="left"/>
      <w:pPr>
        <w:ind w:left="1800" w:hanging="1440"/>
      </w:pPr>
      <w:rPr>
        <w:rFonts w:cs="Times New Roman" w:hint="eastAsia"/>
      </w:rPr>
    </w:lvl>
    <w:lvl w:ilvl="7">
      <w:start w:val="1"/>
      <w:numFmt w:val="decimal"/>
      <w:isLgl/>
      <w:lvlText w:val="%1.%2.%3.%4.%5.%6.%7.%8"/>
      <w:lvlJc w:val="left"/>
      <w:pPr>
        <w:ind w:left="1800" w:hanging="1440"/>
      </w:pPr>
      <w:rPr>
        <w:rFonts w:cs="Times New Roman" w:hint="eastAsia"/>
      </w:rPr>
    </w:lvl>
    <w:lvl w:ilvl="8">
      <w:start w:val="1"/>
      <w:numFmt w:val="decimal"/>
      <w:isLgl/>
      <w:lvlText w:val="%1.%2.%3.%4.%5.%6.%7.%8.%9"/>
      <w:lvlJc w:val="left"/>
      <w:pPr>
        <w:ind w:left="2160" w:hanging="1800"/>
      </w:pPr>
      <w:rPr>
        <w:rFonts w:cs="Times New Roman" w:hint="eastAsia"/>
      </w:rPr>
    </w:lvl>
  </w:abstractNum>
  <w:abstractNum w:abstractNumId="17" w15:restartNumberingAfterBreak="0">
    <w:nsid w:val="00000012"/>
    <w:multiLevelType w:val="multilevel"/>
    <w:tmpl w:val="0C1017F8"/>
    <w:lvl w:ilvl="0">
      <w:start w:val="1"/>
      <w:numFmt w:val="decimal"/>
      <w:lvlText w:val="%1."/>
      <w:lvlJc w:val="left"/>
      <w:pPr>
        <w:tabs>
          <w:tab w:val="num" w:pos="720"/>
        </w:tabs>
        <w:ind w:left="720" w:hanging="720"/>
      </w:pPr>
      <w:rPr>
        <w:rFonts w:cs="Times New Roman" w:hint="eastAsia"/>
        <w:bCs w:val="0"/>
        <w:iCs w:val="0"/>
        <w:caps w:val="0"/>
        <w:smallCaps w:val="0"/>
        <w:strike w:val="0"/>
        <w:dstrike w:val="0"/>
        <w:vanish w:val="0"/>
        <w:color w:val="000000"/>
        <w:spacing w:val="0"/>
        <w:kern w:val="0"/>
        <w:position w:val="0"/>
        <w:u w:val="none"/>
        <w:vertAlign w:val="baseline"/>
      </w:rPr>
    </w:lvl>
    <w:lvl w:ilvl="1">
      <w:start w:val="1"/>
      <w:numFmt w:val="decimal"/>
      <w:isLgl/>
      <w:lvlText w:val="%1.%2"/>
      <w:lvlJc w:val="left"/>
      <w:pPr>
        <w:tabs>
          <w:tab w:val="num" w:pos="720"/>
        </w:tabs>
        <w:ind w:left="72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2">
      <w:start w:val="1"/>
      <w:numFmt w:val="decimal"/>
      <w:isLgl/>
      <w:lvlText w:val="%1.%2.%3"/>
      <w:lvlJc w:val="left"/>
      <w:pPr>
        <w:tabs>
          <w:tab w:val="num" w:pos="720"/>
        </w:tabs>
        <w:ind w:left="720" w:hanging="720"/>
      </w:pPr>
      <w:rPr>
        <w:rFonts w:cs="Times New Roman" w:hint="eastAsia"/>
        <w:bCs w:val="0"/>
        <w:i w:val="0"/>
        <w:iCs w:val="0"/>
        <w:caps w:val="0"/>
        <w:smallCaps w:val="0"/>
        <w:strike w:val="0"/>
        <w:dstrike w:val="0"/>
        <w:vanish w:val="0"/>
        <w:color w:val="000000"/>
        <w:spacing w:val="0"/>
        <w:kern w:val="0"/>
        <w:position w:val="0"/>
        <w:u w:val="none"/>
        <w:effect w:val="none"/>
        <w:vertAlign w:val="baseline"/>
      </w:rPr>
    </w:lvl>
    <w:lvl w:ilvl="3">
      <w:start w:val="1"/>
      <w:numFmt w:val="lowerLetter"/>
      <w:lvlText w:val="(%4)"/>
      <w:lvlJc w:val="left"/>
      <w:pPr>
        <w:tabs>
          <w:tab w:val="num" w:pos="1440"/>
        </w:tabs>
        <w:ind w:left="1440" w:hanging="720"/>
      </w:pPr>
      <w:rPr>
        <w:rFonts w:ascii="Calibri" w:hAnsi="Calibri" w:cs="Times New Roman" w:hint="default"/>
        <w:bCs w:val="0"/>
        <w:i w:val="0"/>
        <w:iCs w:val="0"/>
        <w:caps w:val="0"/>
        <w:smallCaps w:val="0"/>
        <w:strike w:val="0"/>
        <w:dstrike w:val="0"/>
        <w:vanish w:val="0"/>
        <w:color w:val="000000"/>
        <w:spacing w:val="0"/>
        <w:kern w:val="0"/>
        <w:position w:val="0"/>
        <w:u w:val="none"/>
        <w:effect w:val="none"/>
        <w:vertAlign w:val="baseline"/>
      </w:rPr>
    </w:lvl>
    <w:lvl w:ilvl="4">
      <w:start w:val="1"/>
      <w:numFmt w:val="lowerRoman"/>
      <w:lvlText w:val="(%5)"/>
      <w:lvlJc w:val="left"/>
      <w:pPr>
        <w:ind w:left="3207"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5">
      <w:start w:val="1"/>
      <w:numFmt w:val="upperLetter"/>
      <w:lvlText w:val="(%6)"/>
      <w:lvlJc w:val="left"/>
      <w:pPr>
        <w:ind w:left="1298" w:hanging="1080"/>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6">
      <w:start w:val="1"/>
      <w:numFmt w:val="decimal"/>
      <w:isLgl/>
      <w:lvlText w:val="%1.%2.%3.%4.%5.%6.%7"/>
      <w:lvlJc w:val="left"/>
      <w:pPr>
        <w:ind w:left="1658" w:hanging="1440"/>
      </w:pPr>
      <w:rPr>
        <w:rFonts w:cs="Times New Roman" w:hint="eastAsia"/>
      </w:rPr>
    </w:lvl>
    <w:lvl w:ilvl="7">
      <w:start w:val="1"/>
      <w:numFmt w:val="decimal"/>
      <w:isLgl/>
      <w:lvlText w:val="%1.%2.%3.%4.%5.%6.%7.%8"/>
      <w:lvlJc w:val="left"/>
      <w:pPr>
        <w:ind w:left="1658" w:hanging="1440"/>
      </w:pPr>
      <w:rPr>
        <w:rFonts w:cs="Times New Roman" w:hint="eastAsia"/>
      </w:rPr>
    </w:lvl>
    <w:lvl w:ilvl="8">
      <w:start w:val="1"/>
      <w:numFmt w:val="decimal"/>
      <w:isLgl/>
      <w:lvlText w:val="%1.%2.%3.%4.%5.%6.%7.%8.%9"/>
      <w:lvlJc w:val="left"/>
      <w:pPr>
        <w:ind w:left="2018" w:hanging="1800"/>
      </w:pPr>
      <w:rPr>
        <w:rFonts w:cs="Times New Roman" w:hint="eastAsia"/>
      </w:rPr>
    </w:lvl>
  </w:abstractNum>
  <w:num w:numId="1">
    <w:abstractNumId w:val="16"/>
  </w:num>
  <w:num w:numId="2">
    <w:abstractNumId w:val="7"/>
  </w:num>
  <w:num w:numId="3">
    <w:abstractNumId w:val="8"/>
  </w:num>
  <w:num w:numId="4">
    <w:abstractNumId w:val="9"/>
  </w:num>
  <w:num w:numId="5">
    <w:abstractNumId w:val="13"/>
  </w:num>
  <w:num w:numId="6">
    <w:abstractNumId w:val="15"/>
  </w:num>
  <w:num w:numId="7">
    <w:abstractNumId w:val="1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5"/>
  </w:num>
  <w:num w:numId="15">
    <w:abstractNumId w:val="12"/>
  </w:num>
  <w:num w:numId="16">
    <w:abstractNumId w:val="0"/>
  </w:num>
  <w:num w:numId="17">
    <w:abstractNumId w:val="10"/>
  </w:num>
  <w:num w:numId="18">
    <w:abstractNumId w:val="6"/>
  </w:num>
  <w:num w:numId="19">
    <w:abstractNumId w:val="14"/>
  </w:num>
  <w:num w:numId="20">
    <w:abstractNumId w:val="11"/>
  </w:num>
  <w:num w:numId="21">
    <w:abstractNumId w:val="10"/>
    <w:lvlOverride w:ilvl="0">
      <w:lvl w:ilvl="0">
        <w:start w:val="1"/>
        <w:numFmt w:val="decimal"/>
        <w:lvlText w:val="%1."/>
        <w:lvlJc w:val="left"/>
        <w:pPr>
          <w:tabs>
            <w:tab w:val="num" w:pos="499"/>
          </w:tabs>
          <w:ind w:left="502" w:hanging="360"/>
        </w:pPr>
        <w:rPr>
          <w:rFonts w:cs="Times New Roman" w:hint="eastAsia"/>
          <w:color w:val="0000FF"/>
          <w:u w:val="double"/>
        </w:rPr>
      </w:lvl>
    </w:lvlOverride>
    <w:lvlOverride w:ilvl="1">
      <w:lvl w:ilvl="1">
        <w:start w:val="1"/>
        <w:numFmt w:val="decimal"/>
        <w:pStyle w:val="GPSL2numberedclause"/>
        <w:lvlText w:val="%1.%2."/>
        <w:lvlJc w:val="left"/>
        <w:pPr>
          <w:tabs>
            <w:tab w:val="num" w:pos="1078"/>
          </w:tabs>
          <w:ind w:left="1078" w:hanging="579"/>
        </w:pPr>
        <w:rPr>
          <w:rFonts w:ascii="Calibri" w:hAnsi="Calibri" w:cs="Times New Roman" w:hint="default"/>
          <w:b w:val="0"/>
          <w:color w:val="auto"/>
          <w:u w:val="none"/>
        </w:rPr>
      </w:lvl>
    </w:lvlOverride>
    <w:lvlOverride w:ilvl="2">
      <w:lvl w:ilvl="2">
        <w:start w:val="1"/>
        <w:numFmt w:val="decimal"/>
        <w:pStyle w:val="GPSL3numberedclause"/>
        <w:lvlText w:val="%1.%2.%3."/>
        <w:lvlJc w:val="left"/>
        <w:pPr>
          <w:tabs>
            <w:tab w:val="num" w:pos="1798"/>
          </w:tabs>
          <w:ind w:left="1798" w:hanging="720"/>
        </w:pPr>
        <w:rPr>
          <w:rFonts w:ascii="Calibri" w:hAnsi="Calibri" w:cs="Times New Roman" w:hint="default"/>
          <w:b w:val="0"/>
          <w:color w:val="auto"/>
          <w:u w:val="none"/>
        </w:rPr>
      </w:lvl>
    </w:lvlOverride>
    <w:lvlOverride w:ilvl="3">
      <w:lvl w:ilvl="3">
        <w:start w:val="1"/>
        <w:numFmt w:val="lowerLetter"/>
        <w:pStyle w:val="GPSL4numberedclause"/>
        <w:lvlText w:val="(%4)"/>
        <w:lvlJc w:val="left"/>
        <w:pPr>
          <w:tabs>
            <w:tab w:val="num" w:pos="2733"/>
          </w:tabs>
          <w:ind w:left="2733" w:hanging="935"/>
        </w:pPr>
        <w:rPr>
          <w:rFonts w:ascii="Calibri" w:hAnsi="Calibri" w:cs="Times New Roman" w:hint="default"/>
          <w:b w:val="0"/>
          <w:color w:val="0000FF"/>
          <w:u w:val="double"/>
        </w:rPr>
      </w:lvl>
    </w:lvlOverride>
    <w:lvlOverride w:ilvl="4">
      <w:lvl w:ilvl="4">
        <w:start w:val="1"/>
        <w:numFmt w:val="lowerRoman"/>
        <w:pStyle w:val="GPSL5numberedclause"/>
        <w:lvlText w:val="(%5)"/>
        <w:lvlJc w:val="left"/>
        <w:pPr>
          <w:tabs>
            <w:tab w:val="num" w:pos="3261"/>
          </w:tabs>
          <w:ind w:left="3261" w:hanging="567"/>
        </w:pPr>
        <w:rPr>
          <w:rFonts w:ascii="Calibri" w:hAnsi="Calibri" w:cs="Times New Roman" w:hint="default"/>
          <w:color w:val="0000FF"/>
          <w:u w:val="double"/>
        </w:rPr>
      </w:lvl>
    </w:lvlOverride>
    <w:lvlOverride w:ilvl="5">
      <w:lvl w:ilvl="5">
        <w:start w:val="1"/>
        <w:numFmt w:val="decimal"/>
        <w:lvlText w:val="%1.%2.%3.%4.%5.%6."/>
        <w:lvlJc w:val="left"/>
        <w:pPr>
          <w:ind w:left="2878" w:hanging="936"/>
        </w:pPr>
        <w:rPr>
          <w:rFonts w:cs="Times New Roman" w:hint="eastAsia"/>
          <w:color w:val="0000FF"/>
          <w:u w:val="double"/>
        </w:rPr>
      </w:lvl>
    </w:lvlOverride>
    <w:lvlOverride w:ilvl="6">
      <w:lvl w:ilvl="6">
        <w:start w:val="1"/>
        <w:numFmt w:val="decimal"/>
        <w:lvlText w:val="%1.%2.%3.%4.%5.%6.%7."/>
        <w:lvlJc w:val="left"/>
        <w:pPr>
          <w:ind w:left="3382" w:hanging="1080"/>
        </w:pPr>
        <w:rPr>
          <w:rFonts w:cs="Times New Roman" w:hint="eastAsia"/>
          <w:color w:val="0000FF"/>
          <w:u w:val="double"/>
        </w:rPr>
      </w:lvl>
    </w:lvlOverride>
    <w:lvlOverride w:ilvl="7">
      <w:lvl w:ilvl="7">
        <w:start w:val="1"/>
        <w:numFmt w:val="decimal"/>
        <w:lvlText w:val="%1.%2.%3.%4.%5.%6.%7.%8."/>
        <w:lvlJc w:val="left"/>
        <w:pPr>
          <w:ind w:left="3886" w:hanging="1224"/>
        </w:pPr>
        <w:rPr>
          <w:rFonts w:cs="Times New Roman" w:hint="eastAsia"/>
          <w:color w:val="0000FF"/>
          <w:u w:val="double"/>
        </w:rPr>
      </w:lvl>
    </w:lvlOverride>
    <w:lvlOverride w:ilvl="8">
      <w:lvl w:ilvl="8">
        <w:start w:val="1"/>
        <w:numFmt w:val="decimal"/>
        <w:lvlText w:val="%1.%2.%3.%4.%5.%6.%7.%8.%9."/>
        <w:lvlJc w:val="left"/>
        <w:pPr>
          <w:ind w:left="4462" w:hanging="1440"/>
        </w:pPr>
        <w:rPr>
          <w:rFonts w:cs="Times New Roman" w:hint="eastAsia"/>
          <w:color w:val="0000FF"/>
          <w:u w:val="doubl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8A2"/>
    <w:rsid w:val="00080EDF"/>
    <w:rsid w:val="002058A2"/>
    <w:rsid w:val="00285E84"/>
    <w:rsid w:val="0028613D"/>
    <w:rsid w:val="002B452D"/>
    <w:rsid w:val="002C0300"/>
    <w:rsid w:val="003D247F"/>
    <w:rsid w:val="0049783D"/>
    <w:rsid w:val="004D0EBE"/>
    <w:rsid w:val="004E43E5"/>
    <w:rsid w:val="004F02D1"/>
    <w:rsid w:val="00574ECB"/>
    <w:rsid w:val="00591A6D"/>
    <w:rsid w:val="005C19F0"/>
    <w:rsid w:val="00612248"/>
    <w:rsid w:val="00612E94"/>
    <w:rsid w:val="006D1752"/>
    <w:rsid w:val="00750009"/>
    <w:rsid w:val="00752F13"/>
    <w:rsid w:val="007A1138"/>
    <w:rsid w:val="007F28D7"/>
    <w:rsid w:val="007F4D54"/>
    <w:rsid w:val="00871BD1"/>
    <w:rsid w:val="00872612"/>
    <w:rsid w:val="008C7712"/>
    <w:rsid w:val="00925996"/>
    <w:rsid w:val="00950338"/>
    <w:rsid w:val="009A3FAD"/>
    <w:rsid w:val="009D134F"/>
    <w:rsid w:val="00A10C99"/>
    <w:rsid w:val="00A10FED"/>
    <w:rsid w:val="00B74E6E"/>
    <w:rsid w:val="00B9294F"/>
    <w:rsid w:val="00BC6652"/>
    <w:rsid w:val="00C16744"/>
    <w:rsid w:val="00C223E4"/>
    <w:rsid w:val="00C64651"/>
    <w:rsid w:val="00DF152A"/>
    <w:rsid w:val="00E010DC"/>
    <w:rsid w:val="00E55BCA"/>
    <w:rsid w:val="00EA67A7"/>
    <w:rsid w:val="00EB1D55"/>
    <w:rsid w:val="00EB2F87"/>
    <w:rsid w:val="00F24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BB820F"/>
  <w14:defaultImageDpi w14:val="96"/>
  <w15:docId w15:val="{4F03470E-6DA4-4A31-822F-C2C67962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qFormat="1"/>
    <w:lsdException w:name="heading 3" w:uiPriority="9" w:qFormat="1"/>
    <w:lsdException w:name="heading 4" w:uiPriority="6"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240"/>
      <w:jc w:val="both"/>
    </w:pPr>
    <w:rPr>
      <w:rFonts w:cs="Arial"/>
      <w:sz w:val="22"/>
      <w:szCs w:val="22"/>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Normal"/>
    <w:next w:val="Normal"/>
    <w:link w:val="Heading1Char"/>
    <w:uiPriority w:val="99"/>
    <w:qFormat/>
    <w:pPr>
      <w:keepNext/>
      <w:spacing w:after="0"/>
      <w:jc w:val="left"/>
      <w:outlineLvl w:val="0"/>
    </w:pPr>
    <w:rPr>
      <w:rFonts w:ascii="Times New Roman" w:hAnsi="Times New Roman" w:cs="Times New Roman"/>
      <w:i/>
      <w:sz w:val="18"/>
      <w:szCs w:val="24"/>
      <w:lang w:val="en-U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Normal"/>
    <w:link w:val="Heading2Char"/>
    <w:uiPriority w:val="9"/>
    <w:qFormat/>
    <w:pPr>
      <w:tabs>
        <w:tab w:val="num" w:pos="862"/>
      </w:tabs>
      <w:ind w:left="862" w:hanging="720"/>
      <w:outlineLvl w:val="1"/>
    </w:pPr>
    <w:rPr>
      <w:rFonts w:eastAsia="STZhongsong" w:cs="Times New Roman"/>
      <w:szCs w:val="20"/>
    </w:r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Normal"/>
    <w:next w:val="Normal"/>
    <w:link w:val="Heading3Char"/>
    <w:uiPriority w:val="9"/>
    <w:qFormat/>
    <w:pPr>
      <w:keepNext/>
      <w:spacing w:before="240" w:after="60" w:line="276" w:lineRule="auto"/>
      <w:jc w:val="left"/>
      <w:outlineLvl w:val="2"/>
    </w:pPr>
    <w:rPr>
      <w:rFonts w:ascii="Cambria" w:hAnsi="Cambria" w:cs="Times New Roman"/>
      <w:b/>
      <w:sz w:val="26"/>
      <w:szCs w:val="26"/>
    </w:r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14,l4"/>
    <w:basedOn w:val="Normal"/>
    <w:link w:val="Heading4Char"/>
    <w:uiPriority w:val="6"/>
    <w:qFormat/>
    <w:pPr>
      <w:tabs>
        <w:tab w:val="num" w:pos="2781"/>
      </w:tabs>
      <w:ind w:left="2781" w:hanging="1080"/>
      <w:outlineLvl w:val="3"/>
    </w:pPr>
    <w:rPr>
      <w:rFonts w:eastAsia="STZhongsong" w:cs="Times New Roman"/>
      <w:szCs w:val="20"/>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link w:val="Heading5Char"/>
    <w:uiPriority w:val="9"/>
    <w:qFormat/>
    <w:pPr>
      <w:tabs>
        <w:tab w:val="num" w:pos="3600"/>
      </w:tabs>
      <w:ind w:left="3600" w:hanging="720"/>
      <w:outlineLvl w:val="4"/>
    </w:pPr>
    <w:rPr>
      <w:rFonts w:eastAsia="STZhongsong" w:cs="Times New Roman"/>
      <w:szCs w:val="20"/>
    </w:rPr>
  </w:style>
  <w:style w:type="paragraph" w:styleId="Heading6">
    <w:name w:val="heading 6"/>
    <w:aliases w:val="Heading 6 (Do Not Use),Heading 6(unused),Legal Level 1.,L1 PIP,Heading 6  Appendix Y &amp; Z,Lev 6,H6 DO NOT USE,Bullet list,PA Appendix,H6,H61,PR14"/>
    <w:basedOn w:val="Normal"/>
    <w:link w:val="Heading6Char"/>
    <w:uiPriority w:val="9"/>
    <w:qFormat/>
    <w:pPr>
      <w:tabs>
        <w:tab w:val="num" w:pos="4320"/>
      </w:tabs>
      <w:ind w:left="4320" w:hanging="720"/>
      <w:outlineLvl w:val="5"/>
    </w:pPr>
    <w:rPr>
      <w:rFonts w:eastAsia="STZhongsong"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link w:val="Heading1"/>
    <w:uiPriority w:val="9"/>
    <w:rPr>
      <w:rFonts w:ascii="Cambria" w:eastAsia="Times New Roman" w:hAnsi="Cambria" w:cs="Times New Roman"/>
      <w:b/>
      <w:bCs/>
      <w:kern w:val="32"/>
      <w:sz w:val="32"/>
      <w:szCs w:val="32"/>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link w:val="Heading2"/>
    <w:uiPriority w:val="9"/>
    <w:rPr>
      <w:rFonts w:ascii="Arial" w:eastAsia="STZhongsong" w:hAnsi="Arial" w:cs="Times New Roman"/>
      <w:sz w:val="20"/>
      <w:szCs w:val="20"/>
      <w:lang w:val="x-none"/>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link w:val="Heading3"/>
    <w:uiPriority w:val="9"/>
    <w:rPr>
      <w:rFonts w:ascii="Cambria" w:eastAsia="Times New Roman" w:hAnsi="Cambria" w:cs="Times New Roman"/>
      <w:b/>
      <w:sz w:val="26"/>
      <w:szCs w:val="26"/>
      <w:lang w:val="x-none"/>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link w:val="Heading4"/>
    <w:uiPriority w:val="6"/>
    <w:rPr>
      <w:rFonts w:ascii="Arial" w:eastAsia="STZhongsong" w:hAnsi="Arial" w:cs="Times New Roman"/>
      <w:sz w:val="20"/>
      <w:szCs w:val="20"/>
      <w:lang w:val="x-none"/>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link w:val="Heading5"/>
    <w:uiPriority w:val="9"/>
    <w:rPr>
      <w:rFonts w:ascii="Arial" w:eastAsia="STZhongsong" w:hAnsi="Arial" w:cs="Times New Roman"/>
      <w:sz w:val="20"/>
      <w:szCs w:val="20"/>
      <w:lang w:val="x-none"/>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link w:val="Heading6"/>
    <w:uiPriority w:val="9"/>
    <w:rPr>
      <w:rFonts w:ascii="Arial" w:eastAsia="STZhongsong" w:hAnsi="Arial" w:cs="Times New Roman"/>
      <w:sz w:val="20"/>
      <w:szCs w:val="20"/>
      <w:lang w:val="x-none"/>
    </w:rPr>
  </w:style>
  <w:style w:type="paragraph" w:styleId="Header">
    <w:name w:val="header"/>
    <w:basedOn w:val="Normal"/>
    <w:link w:val="HeaderChar"/>
    <w:uiPriority w:val="99"/>
    <w:pPr>
      <w:tabs>
        <w:tab w:val="center" w:pos="4513"/>
        <w:tab w:val="right" w:pos="9026"/>
      </w:tabs>
      <w:spacing w:after="0"/>
    </w:pPr>
  </w:style>
  <w:style w:type="character" w:customStyle="1" w:styleId="HeaderChar">
    <w:name w:val="Header Char"/>
    <w:link w:val="Header"/>
    <w:uiPriority w:val="99"/>
    <w:rPr>
      <w:rFonts w:ascii="Calibri" w:hAnsi="Calibri" w:cs="Arial"/>
    </w:rPr>
  </w:style>
  <w:style w:type="paragraph" w:styleId="Footer">
    <w:name w:val="footer"/>
    <w:basedOn w:val="Normal"/>
    <w:link w:val="FooterChar"/>
    <w:uiPriority w:val="99"/>
    <w:pPr>
      <w:tabs>
        <w:tab w:val="center" w:pos="4513"/>
        <w:tab w:val="right" w:pos="9026"/>
      </w:tabs>
      <w:spacing w:after="0"/>
    </w:pPr>
  </w:style>
  <w:style w:type="character" w:customStyle="1" w:styleId="FooterChar">
    <w:name w:val="Footer Char"/>
    <w:link w:val="Footer"/>
    <w:uiPriority w:val="99"/>
    <w:rPr>
      <w:rFonts w:ascii="Calibri" w:hAnsi="Calibri" w:cs="Arial"/>
    </w:rPr>
  </w:style>
  <w:style w:type="paragraph" w:customStyle="1" w:styleId="GPSmacrorestart">
    <w:name w:val="GPS macro restart"/>
    <w:basedOn w:val="Normal"/>
    <w:qFormat/>
    <w:pPr>
      <w:spacing w:after="0"/>
    </w:pPr>
    <w:rPr>
      <w:color w:val="FFFFFF"/>
      <w:sz w:val="16"/>
      <w:szCs w:val="16"/>
    </w:rPr>
  </w:style>
  <w:style w:type="paragraph" w:customStyle="1" w:styleId="GPSL1CLAUSEHEADING">
    <w:name w:val="GPS L1 CLAUSE HEADING"/>
    <w:basedOn w:val="Normal"/>
    <w:next w:val="Normal"/>
    <w:uiPriority w:val="99"/>
    <w:qFormat/>
    <w:pPr>
      <w:tabs>
        <w:tab w:val="left" w:pos="142"/>
      </w:tabs>
      <w:spacing w:before="120"/>
      <w:outlineLvl w:val="1"/>
    </w:pPr>
    <w:rPr>
      <w:rFonts w:eastAsia="STZhongsong"/>
      <w:b/>
      <w:caps/>
    </w:rPr>
  </w:style>
  <w:style w:type="paragraph" w:customStyle="1" w:styleId="GPSL2numberedclause">
    <w:name w:val="GPS L2 numbered clause"/>
    <w:basedOn w:val="Normal"/>
    <w:qFormat/>
    <w:pPr>
      <w:numPr>
        <w:ilvl w:val="1"/>
        <w:numId w:val="17"/>
      </w:numPr>
      <w:tabs>
        <w:tab w:val="left" w:pos="1134"/>
      </w:tabs>
      <w:spacing w:before="120" w:after="120"/>
    </w:pPr>
  </w:style>
  <w:style w:type="paragraph" w:customStyle="1" w:styleId="GPSL3numberedclause">
    <w:name w:val="GPS L3 numbered clause"/>
    <w:basedOn w:val="Normal"/>
    <w:qFormat/>
    <w:pPr>
      <w:numPr>
        <w:ilvl w:val="2"/>
        <w:numId w:val="17"/>
      </w:numPr>
      <w:tabs>
        <w:tab w:val="left" w:pos="1985"/>
      </w:tabs>
      <w:spacing w:before="120" w:after="120"/>
    </w:pPr>
  </w:style>
  <w:style w:type="paragraph" w:customStyle="1" w:styleId="GPSL4numberedclause">
    <w:name w:val="GPS L4 numbered clause"/>
    <w:basedOn w:val="GPSL3numberedclause"/>
    <w:qFormat/>
    <w:pPr>
      <w:numPr>
        <w:ilvl w:val="3"/>
      </w:numPr>
      <w:tabs>
        <w:tab w:val="clear" w:pos="1985"/>
      </w:tabs>
    </w:pPr>
  </w:style>
  <w:style w:type="character" w:customStyle="1" w:styleId="GPSL2numberedclauseChar1">
    <w:name w:val="GPS L2 numbered clause Char1"/>
    <w:rPr>
      <w:rFonts w:ascii="Calibri" w:hAnsi="Calibri"/>
      <w:lang w:val="x-none"/>
    </w:rPr>
  </w:style>
  <w:style w:type="character" w:customStyle="1" w:styleId="GPSL3numberedclauseChar">
    <w:name w:val="GPS L3 numbered clause Char"/>
    <w:rPr>
      <w:rFonts w:ascii="Calibri" w:hAnsi="Calibri"/>
      <w:lang w:val="x-none"/>
    </w:rPr>
  </w:style>
  <w:style w:type="character" w:customStyle="1" w:styleId="GPSL4numberedclauseChar">
    <w:name w:val="GPS L4 numbered clause Char"/>
    <w:rPr>
      <w:rFonts w:ascii="Calibri" w:hAnsi="Calibri"/>
      <w:lang w:val="x-none"/>
    </w:rPr>
  </w:style>
  <w:style w:type="paragraph" w:customStyle="1" w:styleId="GPSL5numberedclause">
    <w:name w:val="GPS L5 numbered clause"/>
    <w:basedOn w:val="GPSL4numberedclause"/>
    <w:qFormat/>
    <w:pPr>
      <w:numPr>
        <w:ilvl w:val="4"/>
      </w:numPr>
    </w:pPr>
  </w:style>
  <w:style w:type="paragraph" w:customStyle="1" w:styleId="GPSL6numbered">
    <w:name w:val="GPS L6 numbered"/>
    <w:basedOn w:val="GPSL5numberedclause"/>
    <w:uiPriority w:val="99"/>
    <w:qFormat/>
    <w:pPr>
      <w:numPr>
        <w:ilvl w:val="0"/>
        <w:numId w:val="0"/>
      </w:numPr>
      <w:tabs>
        <w:tab w:val="left" w:pos="3686"/>
      </w:tabs>
    </w:pPr>
  </w:style>
  <w:style w:type="paragraph" w:customStyle="1" w:styleId="GPSSchTitleandNumber">
    <w:name w:val="GPS Sch Title and Number"/>
    <w:basedOn w:val="Normal"/>
    <w:qFormat/>
    <w:pPr>
      <w:keepNext/>
      <w:ind w:firstLine="426"/>
      <w:jc w:val="center"/>
      <w:outlineLvl w:val="0"/>
    </w:pPr>
    <w:rPr>
      <w:rFonts w:ascii="Arial Bold" w:eastAsia="STZhongsong" w:hAnsi="Arial Bold" w:cs="Times New Roman"/>
      <w:b/>
      <w:caps/>
    </w:rPr>
  </w:style>
  <w:style w:type="character" w:customStyle="1" w:styleId="GPSSchTitleandNumberChar">
    <w:name w:val="GPS Sch Title and Number Char"/>
    <w:rPr>
      <w:rFonts w:ascii="Arial Bold" w:eastAsia="STZhongsong" w:hAnsi="Arial Bold"/>
      <w:b/>
      <w:caps/>
      <w:lang w:val="x-none"/>
    </w:rPr>
  </w:style>
  <w:style w:type="paragraph" w:customStyle="1" w:styleId="GPSDefinitionTerm">
    <w:name w:val="GPS Definition Term"/>
    <w:basedOn w:val="Normal"/>
    <w:qFormat/>
    <w:pPr>
      <w:spacing w:after="120"/>
      <w:ind w:left="-108"/>
      <w:jc w:val="left"/>
    </w:pPr>
    <w:rPr>
      <w:b/>
    </w:rPr>
  </w:style>
  <w:style w:type="paragraph" w:customStyle="1" w:styleId="GPsDefinition">
    <w:name w:val="GPs Definition"/>
    <w:basedOn w:val="Normal"/>
    <w:qFormat/>
    <w:pPr>
      <w:numPr>
        <w:numId w:val="2"/>
      </w:numPr>
      <w:tabs>
        <w:tab w:val="left" w:pos="175"/>
      </w:tabs>
      <w:spacing w:after="120"/>
    </w:pPr>
  </w:style>
  <w:style w:type="paragraph" w:customStyle="1" w:styleId="GPSDefinitionL2">
    <w:name w:val="GPS Definition L2"/>
    <w:basedOn w:val="GPsDefinition"/>
    <w:uiPriority w:val="99"/>
    <w:qFormat/>
    <w:pPr>
      <w:numPr>
        <w:ilvl w:val="1"/>
      </w:numPr>
    </w:pPr>
  </w:style>
  <w:style w:type="paragraph" w:customStyle="1" w:styleId="GPSDefinitionL3">
    <w:name w:val="GPS Definition L3"/>
    <w:basedOn w:val="GPSDefinitionL2"/>
    <w:uiPriority w:val="99"/>
    <w:qFormat/>
    <w:pPr>
      <w:numPr>
        <w:ilvl w:val="2"/>
      </w:numPr>
    </w:pPr>
  </w:style>
  <w:style w:type="paragraph" w:customStyle="1" w:styleId="GPSDefinitionL4">
    <w:name w:val="GPS Definition L4"/>
    <w:basedOn w:val="GPSDefinitionL3"/>
    <w:uiPriority w:val="99"/>
    <w:qFormat/>
    <w:pPr>
      <w:numPr>
        <w:ilvl w:val="3"/>
      </w:numPr>
    </w:pPr>
  </w:style>
  <w:style w:type="paragraph" w:customStyle="1" w:styleId="GPSL1SCHEDULEHeading">
    <w:name w:val="GPS L1 SCHEDULE Heading"/>
    <w:basedOn w:val="GPSL1CLAUSEHEADING"/>
    <w:qFormat/>
    <w:pPr>
      <w:outlineLvl w:val="9"/>
    </w:pPr>
  </w:style>
  <w:style w:type="character" w:customStyle="1" w:styleId="GPSL1SCHEDULEHeadingChar">
    <w:name w:val="GPS L1 SCHEDULE Heading Char"/>
    <w:rPr>
      <w:rFonts w:ascii="Calibri" w:eastAsia="STZhongsong" w:hAnsi="Calibri"/>
      <w:b/>
      <w:caps/>
      <w:lang w:val="x-none"/>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CommentReference">
    <w:name w:val="annotation reference"/>
    <w:uiPriority w:val="99"/>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link w:val="CommentText"/>
    <w:uiPriority w:val="99"/>
    <w:rPr>
      <w:rFonts w:ascii="Calibri" w:hAnsi="Calibri" w:cs="Arial"/>
      <w:sz w:val="20"/>
      <w:szCs w:val="20"/>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link w:val="CommentSubject"/>
    <w:uiPriority w:val="99"/>
    <w:rPr>
      <w:rFonts w:ascii="Calibri" w:hAnsi="Calibri" w:cs="Arial"/>
      <w:b/>
      <w:sz w:val="20"/>
      <w:szCs w:val="20"/>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Revision">
    <w:name w:val="Revision"/>
    <w:hidden/>
    <w:uiPriority w:val="99"/>
    <w:pPr>
      <w:autoSpaceDE w:val="0"/>
      <w:autoSpaceDN w:val="0"/>
      <w:adjustRightInd w:val="0"/>
    </w:pPr>
    <w:rPr>
      <w:rFonts w:ascii="Arial" w:hAnsi="Arial" w:cs="Arial"/>
      <w:sz w:val="22"/>
      <w:szCs w:val="22"/>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2 Char"/>
    <w:uiPriority w:val="1"/>
    <w:rPr>
      <w:rFonts w:ascii="Cambria" w:eastAsia="Times New Roman" w:hAnsi="Cambria" w:cs="Times New Roman"/>
      <w:b/>
      <w:kern w:val="32"/>
      <w:sz w:val="32"/>
      <w:szCs w:val="32"/>
      <w:lang w:val="x-none"/>
    </w:rPr>
  </w:style>
  <w:style w:type="paragraph" w:customStyle="1" w:styleId="GPSL2NumberedBoldHeading">
    <w:name w:val="GPS L2 Numbered Bold Heading"/>
    <w:basedOn w:val="Normal"/>
    <w:qFormat/>
    <w:pPr>
      <w:tabs>
        <w:tab w:val="left" w:pos="1134"/>
      </w:tabs>
      <w:spacing w:before="120" w:after="120"/>
    </w:pPr>
    <w:rPr>
      <w:b/>
    </w:rPr>
  </w:style>
  <w:style w:type="paragraph" w:customStyle="1" w:styleId="GPSL2Numbered">
    <w:name w:val="GPS L2 Numbered"/>
    <w:basedOn w:val="GPSL2NumberedBoldHeading"/>
    <w:qFormat/>
    <w:pPr>
      <w:tabs>
        <w:tab w:val="clear" w:pos="1134"/>
      </w:tabs>
    </w:pPr>
    <w:rPr>
      <w:b w:val="0"/>
    </w:rPr>
  </w:style>
  <w:style w:type="character" w:customStyle="1" w:styleId="GPSL2NumberedChar">
    <w:name w:val="GPS L2 Numbered Char"/>
    <w:rPr>
      <w:rFonts w:ascii="Calibri" w:hAnsi="Calibri"/>
      <w:lang w:val="x-none"/>
    </w:rPr>
  </w:style>
  <w:style w:type="character" w:styleId="Emphasis">
    <w:name w:val="Emphasis"/>
    <w:uiPriority w:val="20"/>
    <w:qFormat/>
    <w:rPr>
      <w:rFonts w:cs="Times New Roman"/>
      <w:i/>
    </w:rPr>
  </w:style>
  <w:style w:type="character" w:customStyle="1" w:styleId="GPSL1CLAUSEHEADINGChar">
    <w:name w:val="GPS L1 CLAUSE HEADING Char"/>
    <w:uiPriority w:val="99"/>
    <w:rPr>
      <w:rFonts w:ascii="Calibri" w:eastAsia="STZhongsong" w:hAnsi="Calibri"/>
      <w:b/>
      <w:caps/>
      <w:lang w:val="x-none"/>
    </w:rPr>
  </w:style>
  <w:style w:type="character" w:customStyle="1" w:styleId="GPSL2NumberedBoldHeadingChar">
    <w:name w:val="GPS L2 Numbered Bold Heading Char"/>
    <w:rPr>
      <w:rFonts w:ascii="Calibri" w:hAnsi="Calibri"/>
      <w:b/>
      <w:lang w:val="x-none"/>
    </w:rPr>
  </w:style>
  <w:style w:type="character" w:customStyle="1" w:styleId="GPSL5numberedclauseChar">
    <w:name w:val="GPS L5 numbered clause Char"/>
    <w:rPr>
      <w:rFonts w:ascii="Calibri" w:hAnsi="Calibri"/>
      <w:lang w:val="x-none"/>
    </w:rPr>
  </w:style>
  <w:style w:type="paragraph" w:customStyle="1" w:styleId="Normal1">
    <w:name w:val="Normal1"/>
    <w:pPr>
      <w:widowControl w:val="0"/>
      <w:autoSpaceDE w:val="0"/>
      <w:autoSpaceDN w:val="0"/>
      <w:adjustRightInd w:val="0"/>
      <w:spacing w:after="80"/>
    </w:pPr>
    <w:rPr>
      <w:rFonts w:cs="Calibri"/>
      <w:color w:val="000000"/>
      <w:sz w:val="22"/>
      <w:szCs w:val="22"/>
    </w:rPr>
  </w:style>
  <w:style w:type="paragraph" w:styleId="ListParagraph">
    <w:name w:val="List Paragraph"/>
    <w:basedOn w:val="Normal"/>
    <w:uiPriority w:val="34"/>
    <w:qFormat/>
    <w:pPr>
      <w:ind w:left="720"/>
      <w:contextualSpacing/>
    </w:pPr>
  </w:style>
  <w:style w:type="paragraph" w:styleId="BodyText">
    <w:name w:val="Body Text"/>
    <w:basedOn w:val="Normal"/>
    <w:next w:val="GPSmacrorestart"/>
    <w:link w:val="BodyTextChar"/>
    <w:uiPriority w:val="99"/>
    <w:pPr>
      <w:spacing w:after="0"/>
      <w:jc w:val="left"/>
    </w:pPr>
    <w:rPr>
      <w:rFonts w:ascii="Times New Roman" w:hAnsi="Times New Roman" w:cs="Times New Roman"/>
      <w:sz w:val="18"/>
      <w:szCs w:val="24"/>
      <w:lang w:val="en-US"/>
    </w:rPr>
  </w:style>
  <w:style w:type="character" w:customStyle="1" w:styleId="BodyTextChar">
    <w:name w:val="Body Text Char"/>
    <w:link w:val="BodyText"/>
    <w:uiPriority w:val="99"/>
    <w:semiHidden/>
    <w:rPr>
      <w:rFonts w:ascii="Calibri" w:hAnsi="Calibri" w:cs="Arial"/>
    </w:rPr>
  </w:style>
  <w:style w:type="paragraph" w:styleId="DocumentMap">
    <w:name w:val="Document Map"/>
    <w:basedOn w:val="Normal"/>
    <w:next w:val="GPSL5numberedclause"/>
    <w:link w:val="DocumentMapChar"/>
    <w:uiPriority w:val="99"/>
    <w:pPr>
      <w:shd w:val="clear" w:color="auto" w:fill="000080"/>
      <w:spacing w:after="0"/>
      <w:jc w:val="left"/>
    </w:pPr>
    <w:rPr>
      <w:rFonts w:ascii="Tahoma" w:hAnsi="Tahoma" w:cs="Times New Roman"/>
      <w:sz w:val="24"/>
      <w:szCs w:val="24"/>
      <w:lang w:val="en-US"/>
    </w:rPr>
  </w:style>
  <w:style w:type="character" w:customStyle="1" w:styleId="DocumentMapChar">
    <w:name w:val="Document Map Char"/>
    <w:link w:val="DocumentMap"/>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ACE9F-7FFE-45ED-A3EB-AF9DE132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McCaldon</dc:creator>
  <cp:lastModifiedBy>Steven Howarth</cp:lastModifiedBy>
  <cp:revision>2</cp:revision>
  <dcterms:created xsi:type="dcterms:W3CDTF">2019-10-10T07:38:00Z</dcterms:created>
  <dcterms:modified xsi:type="dcterms:W3CDTF">2019-10-10T07:38:00Z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20 November 2017 D1V7</vt:lpwstr>
  </property>
</Properties>
</file>