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52F" w:rsidRDefault="003C152F" w:rsidP="003C152F">
      <w:pPr>
        <w:jc w:val="center"/>
        <w:rPr>
          <w:rFonts w:eastAsia="Times New Roman"/>
          <w:b/>
          <w:caps/>
          <w:szCs w:val="24"/>
        </w:rPr>
      </w:pPr>
    </w:p>
    <w:p w:rsidR="003C152F" w:rsidRDefault="006F4EF8" w:rsidP="003C152F">
      <w:pPr>
        <w:spacing w:before="240"/>
        <w:jc w:val="center"/>
        <w:rPr>
          <w:b/>
          <w:caps/>
          <w:szCs w:val="24"/>
        </w:rPr>
      </w:pPr>
      <w:r>
        <w:rPr>
          <w:b/>
          <w:caps/>
          <w:szCs w:val="24"/>
        </w:rPr>
        <w:t>BUYER</w:t>
      </w:r>
    </w:p>
    <w:p w:rsidR="003C152F" w:rsidRDefault="003C152F" w:rsidP="003C152F">
      <w:pPr>
        <w:spacing w:before="240"/>
        <w:jc w:val="center"/>
        <w:rPr>
          <w:b/>
          <w:caps/>
          <w:szCs w:val="24"/>
        </w:rPr>
      </w:pPr>
      <w:r>
        <w:rPr>
          <w:b/>
          <w:caps/>
          <w:szCs w:val="24"/>
        </w:rPr>
        <w:t>AND</w:t>
      </w:r>
    </w:p>
    <w:p w:rsidR="003C152F" w:rsidRDefault="003C152F" w:rsidP="003C152F">
      <w:pPr>
        <w:spacing w:before="240"/>
        <w:jc w:val="center"/>
        <w:rPr>
          <w:b/>
          <w:caps/>
          <w:szCs w:val="24"/>
        </w:rPr>
      </w:pPr>
      <w:r>
        <w:rPr>
          <w:b/>
          <w:caps/>
          <w:szCs w:val="24"/>
        </w:rPr>
        <w:t>SUPPLIER</w:t>
      </w:r>
    </w:p>
    <w:p w:rsidR="003C152F" w:rsidRDefault="003C152F" w:rsidP="003C152F">
      <w:pPr>
        <w:spacing w:before="240"/>
        <w:jc w:val="center"/>
        <w:rPr>
          <w:b/>
          <w:caps/>
          <w:szCs w:val="24"/>
        </w:rPr>
      </w:pPr>
      <w:r>
        <w:rPr>
          <w:b/>
          <w:caps/>
          <w:szCs w:val="24"/>
        </w:rPr>
        <w:t>FACILITIES MANAGEMENT MARKETPLACE CONTRACT</w:t>
      </w:r>
    </w:p>
    <w:p w:rsidR="003C152F" w:rsidRDefault="003C152F" w:rsidP="003C152F">
      <w:pPr>
        <w:spacing w:before="240"/>
        <w:jc w:val="center"/>
        <w:rPr>
          <w:b/>
          <w:caps/>
          <w:szCs w:val="24"/>
        </w:rPr>
      </w:pPr>
      <w:r>
        <w:rPr>
          <w:b/>
          <w:caps/>
          <w:szCs w:val="24"/>
        </w:rPr>
        <w:t>REF: RM3830</w:t>
      </w:r>
    </w:p>
    <w:p w:rsidR="003C152F" w:rsidRDefault="003C152F" w:rsidP="003C152F">
      <w:pPr>
        <w:spacing w:after="0"/>
        <w:rPr>
          <w:b/>
          <w:sz w:val="20"/>
          <w:szCs w:val="24"/>
        </w:rPr>
      </w:pPr>
    </w:p>
    <w:p w:rsidR="003C152F" w:rsidRDefault="003C152F" w:rsidP="003C152F">
      <w:pPr>
        <w:spacing w:after="0"/>
        <w:rPr>
          <w:b/>
          <w:sz w:val="20"/>
          <w:szCs w:val="24"/>
        </w:rPr>
      </w:pPr>
    </w:p>
    <w:p w:rsidR="003C152F" w:rsidRDefault="003C152F" w:rsidP="003C152F">
      <w:pPr>
        <w:rPr>
          <w:sz w:val="20"/>
          <w:szCs w:val="24"/>
        </w:rPr>
      </w:pPr>
    </w:p>
    <w:p w:rsidR="003C152F" w:rsidRDefault="003C152F" w:rsidP="003C152F">
      <w:pPr>
        <w:rPr>
          <w:sz w:val="20"/>
          <w:szCs w:val="24"/>
        </w:rPr>
      </w:pPr>
    </w:p>
    <w:p w:rsidR="003C152F" w:rsidRDefault="003C152F" w:rsidP="003C152F">
      <w:pPr>
        <w:rPr>
          <w:sz w:val="20"/>
          <w:szCs w:val="24"/>
        </w:rPr>
      </w:pPr>
    </w:p>
    <w:p w:rsidR="003C152F" w:rsidRDefault="003C152F">
      <w:pPr>
        <w:rPr>
          <w:rFonts w:eastAsia="STZhongsong"/>
          <w:b/>
          <w:lang w:eastAsia="zh-CN"/>
        </w:rPr>
      </w:pPr>
      <w:r>
        <w:rPr>
          <w:rFonts w:eastAsia="STZhongsong"/>
          <w:b/>
          <w:lang w:eastAsia="zh-CN"/>
        </w:rPr>
        <w:br w:type="page"/>
      </w:r>
      <w:bookmarkStart w:id="0" w:name="_GoBack"/>
      <w:bookmarkEnd w:id="0"/>
    </w:p>
    <w:p w:rsidR="00DF71D2" w:rsidRDefault="007E4FD5">
      <w:pPr>
        <w:numPr>
          <w:ilvl w:val="1"/>
          <w:numId w:val="0"/>
        </w:numPr>
        <w:spacing w:after="120"/>
        <w:jc w:val="center"/>
        <w:rPr>
          <w:rFonts w:eastAsia="STZhongsong"/>
          <w:b/>
          <w:lang w:eastAsia="zh-CN"/>
        </w:rPr>
      </w:pPr>
      <w:r>
        <w:rPr>
          <w:rFonts w:eastAsia="STZhongsong"/>
          <w:b/>
          <w:lang w:eastAsia="zh-CN"/>
        </w:rPr>
        <w:lastRenderedPageBreak/>
        <w:t xml:space="preserve">CALL-OFF SCHEDULE 7 </w:t>
      </w:r>
    </w:p>
    <w:p w:rsidR="00DF71D2" w:rsidRDefault="007E4FD5">
      <w:pPr>
        <w:numPr>
          <w:ilvl w:val="1"/>
          <w:numId w:val="0"/>
        </w:numPr>
        <w:spacing w:after="120"/>
        <w:jc w:val="center"/>
        <w:rPr>
          <w:rFonts w:eastAsia="STZhongsong"/>
          <w:lang w:eastAsia="zh-CN"/>
        </w:rPr>
      </w:pPr>
      <w:r>
        <w:rPr>
          <w:rFonts w:eastAsia="STZhongsong"/>
          <w:b/>
          <w:lang w:eastAsia="zh-CN"/>
        </w:rPr>
        <w:t>KEY STAFF</w:t>
      </w:r>
    </w:p>
    <w:p w:rsidR="00DF71D2" w:rsidRDefault="007E4FD5">
      <w:pPr>
        <w:pStyle w:val="GPSL2numberedclause"/>
        <w:ind w:left="567"/>
      </w:pPr>
      <w:r>
        <w:t>1.1</w:t>
      </w:r>
      <w:r>
        <w:tab/>
        <w:t>The Order Form lists the key roles (“</w:t>
      </w:r>
      <w:r>
        <w:rPr>
          <w:b/>
        </w:rPr>
        <w:t>Key Roles</w:t>
      </w:r>
      <w:r>
        <w:t xml:space="preserve">”) and names of the persons who the Supplier shall appoint to fill those Key Roles at the Start Date. </w:t>
      </w:r>
    </w:p>
    <w:p w:rsidR="00DF71D2" w:rsidRDefault="007E4FD5">
      <w:pPr>
        <w:pStyle w:val="GPSL2numberedclause"/>
        <w:ind w:left="567"/>
      </w:pPr>
      <w:r>
        <w:t>1.2</w:t>
      </w:r>
      <w:r>
        <w:tab/>
        <w:t>The Supplier shall ensure that the Key Staff fulfil the Key Roles at all times during the Contract Period.</w:t>
      </w:r>
    </w:p>
    <w:p w:rsidR="00DF71D2" w:rsidRDefault="007E4FD5">
      <w:pPr>
        <w:pStyle w:val="GPSL2numberedclause"/>
        <w:ind w:left="567"/>
      </w:pPr>
      <w:r>
        <w:t>1.3</w:t>
      </w:r>
      <w:r>
        <w:tab/>
        <w:t xml:space="preserve">The Buyer may identify any further roles as being Key Roles and, following agreement to the same by the Supplier, the relevant person selected to fill those Key Roles shall be included on the list of Key Staff.  </w:t>
      </w:r>
    </w:p>
    <w:p w:rsidR="00DF71D2" w:rsidRDefault="007E4FD5">
      <w:pPr>
        <w:pStyle w:val="GPSL2numberedclause"/>
        <w:keepNext/>
        <w:ind w:left="567"/>
      </w:pPr>
      <w:r>
        <w:t>1.4</w:t>
      </w:r>
      <w:r>
        <w:tab/>
        <w:t>The Supplier shall not and shall procure that any Subcontractor shall not remove or replace any Key Staff unless:</w:t>
      </w:r>
    </w:p>
    <w:p w:rsidR="00DF71D2" w:rsidRDefault="007E4FD5">
      <w:pPr>
        <w:pStyle w:val="GPSL3numberedclause"/>
        <w:numPr>
          <w:ilvl w:val="0"/>
          <w:numId w:val="0"/>
        </w:numPr>
        <w:ind w:left="1418" w:hanging="851"/>
      </w:pPr>
      <w:r>
        <w:t>1.4.1</w:t>
      </w:r>
      <w:r>
        <w:tab/>
        <w:t>requested to do so by the Buyer or the Buyer Approves such removal or replacement (not to be unreasonably withheld or delayed);</w:t>
      </w:r>
    </w:p>
    <w:p w:rsidR="00DF71D2" w:rsidRDefault="007E4FD5">
      <w:pPr>
        <w:pStyle w:val="GPSL3numberedclause"/>
        <w:numPr>
          <w:ilvl w:val="0"/>
          <w:numId w:val="0"/>
        </w:numPr>
        <w:ind w:left="1418" w:hanging="851"/>
      </w:pPr>
      <w:r>
        <w:t>1.4.2</w:t>
      </w:r>
      <w:r>
        <w:tab/>
        <w:t>the person concerned resigns, retires or dies or is on maternity or long-term sick leave; or</w:t>
      </w:r>
    </w:p>
    <w:p w:rsidR="00DF71D2" w:rsidRDefault="007E4FD5">
      <w:pPr>
        <w:pStyle w:val="GPSL3numberedclause"/>
        <w:numPr>
          <w:ilvl w:val="0"/>
          <w:numId w:val="0"/>
        </w:numPr>
        <w:ind w:left="1418" w:hanging="851"/>
      </w:pPr>
      <w:r>
        <w:t>1.4.3</w:t>
      </w:r>
      <w:r>
        <w:tab/>
        <w:t>the person’s employment or contractual arrangement with the Supplier or Subcontractor is terminated for material breach of contract by the employee.</w:t>
      </w:r>
    </w:p>
    <w:p w:rsidR="00DF71D2" w:rsidRDefault="007E4FD5">
      <w:pPr>
        <w:pStyle w:val="GPSL2numberedclause"/>
        <w:keepNext/>
        <w:ind w:left="567"/>
      </w:pPr>
      <w:r>
        <w:t>1.5</w:t>
      </w:r>
      <w:r>
        <w:tab/>
        <w:t>The Supplier shall:</w:t>
      </w:r>
    </w:p>
    <w:p w:rsidR="00DF71D2" w:rsidRDefault="007E4FD5">
      <w:pPr>
        <w:pStyle w:val="GPSL3numberedclause"/>
        <w:numPr>
          <w:ilvl w:val="0"/>
          <w:numId w:val="0"/>
        </w:numPr>
        <w:ind w:left="1418" w:hanging="851"/>
      </w:pPr>
      <w:r>
        <w:t>1.5.1</w:t>
      </w:r>
      <w:r>
        <w:tab/>
        <w:t xml:space="preserve">notify the Buyer promptly of the absence of any Key Staff (other than for short-term sickness or holidays of two (2) weeks or less, in which case the Supplier shall ensure appropriate temporary cover for that Key Role); </w:t>
      </w:r>
    </w:p>
    <w:p w:rsidR="00DF71D2" w:rsidRDefault="007E4FD5">
      <w:pPr>
        <w:pStyle w:val="GPSL3numberedclause"/>
        <w:numPr>
          <w:ilvl w:val="0"/>
          <w:numId w:val="0"/>
        </w:numPr>
        <w:ind w:left="1418" w:hanging="851"/>
      </w:pPr>
      <w:r>
        <w:t>1.5.2</w:t>
      </w:r>
      <w:r>
        <w:tab/>
        <w:t xml:space="preserve">ensure that any Key Role is not vacant for any longer than ten (10) Working Days; </w:t>
      </w:r>
    </w:p>
    <w:p w:rsidR="00DF71D2" w:rsidRDefault="007E4FD5">
      <w:pPr>
        <w:pStyle w:val="GPSL3numberedclause"/>
        <w:numPr>
          <w:ilvl w:val="0"/>
          <w:numId w:val="0"/>
        </w:numPr>
        <w:ind w:left="1418" w:hanging="851"/>
      </w:pPr>
      <w:r>
        <w:t>1.5.3</w:t>
      </w:r>
      <w:r>
        <w:tab/>
        <w:t>give as much notice as is reasonably practicable of its intention to remove or replace any member of Key Staff and, except in the cases of death, unexpected ill health or a material breach of the Key Staff’s employment contract, this will mean at least three (3) Months’ notice;</w:t>
      </w:r>
    </w:p>
    <w:p w:rsidR="00DF71D2" w:rsidRDefault="007E4FD5">
      <w:pPr>
        <w:pStyle w:val="GPSL3numberedclause"/>
        <w:numPr>
          <w:ilvl w:val="0"/>
          <w:numId w:val="0"/>
        </w:numPr>
        <w:ind w:left="1418" w:hanging="851"/>
      </w:pPr>
      <w:r>
        <w:t>1.5.4</w:t>
      </w:r>
      <w:r>
        <w:tab/>
        <w:t>ensure that all arrangements for planned changes in Key Staff provide adequate periods during which incoming and outgoing staff work together to transfer responsibilities and ensure that such change does not have an adverse impact on the provision of the Deliverables; and</w:t>
      </w:r>
    </w:p>
    <w:p w:rsidR="00DF71D2" w:rsidRDefault="007E4FD5">
      <w:pPr>
        <w:pStyle w:val="GPSL3numberedclause"/>
        <w:numPr>
          <w:ilvl w:val="0"/>
          <w:numId w:val="0"/>
        </w:numPr>
        <w:ind w:left="1418" w:hanging="851"/>
      </w:pPr>
      <w:r>
        <w:t>1.5.5</w:t>
      </w:r>
      <w:r>
        <w:tab/>
        <w:t>ensure that any replacement for a Key Role has a level of qualifications and experience appropriate to the relevant Key Role and is fully competent to carry out the tasks assigned to the Key Staff whom he or she has replaced.</w:t>
      </w:r>
    </w:p>
    <w:p w:rsidR="00DF71D2" w:rsidRDefault="007E4FD5">
      <w:pPr>
        <w:ind w:left="720" w:hanging="720"/>
      </w:pPr>
      <w:r>
        <w:t>1.6</w:t>
      </w:r>
      <w:r>
        <w:tab/>
        <w:t>The Buyer may require the Supplier to remove or procure that any Subcontractor shall remove any Key Staff that the Buyer considers in any respect unsatisfactory. The Buyer shall not be liable for the cost of replacing any Key Staff.</w:t>
      </w:r>
      <w:bookmarkStart w:id="1" w:name="LASTCURSORPOSITION"/>
      <w:bookmarkEnd w:id="1"/>
    </w:p>
    <w:sectPr w:rsidR="00DF71D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863" w:rsidRDefault="004C2863">
      <w:pPr>
        <w:spacing w:after="0" w:line="240" w:lineRule="auto"/>
      </w:pPr>
      <w:r>
        <w:separator/>
      </w:r>
    </w:p>
  </w:endnote>
  <w:endnote w:type="continuationSeparator" w:id="0">
    <w:p w:rsidR="004C2863" w:rsidRDefault="004C2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Zhongsong">
    <w:altName w:val="Arial Unicode MS"/>
    <w:charset w:val="00"/>
    <w:family w:val="auto"/>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1D2" w:rsidRDefault="00DF71D2">
    <w:pPr>
      <w:tabs>
        <w:tab w:val="center" w:pos="4513"/>
        <w:tab w:val="right" w:pos="9026"/>
      </w:tabs>
      <w:overflowPunct w:val="0"/>
      <w:autoSpaceDE w:val="0"/>
      <w:autoSpaceDN w:val="0"/>
      <w:adjustRightInd w:val="0"/>
      <w:spacing w:after="0" w:line="240" w:lineRule="auto"/>
      <w:jc w:val="both"/>
    </w:pPr>
  </w:p>
  <w:p w:rsidR="00DF71D2" w:rsidRDefault="007E4FD5">
    <w:pPr>
      <w:tabs>
        <w:tab w:val="center" w:pos="4513"/>
        <w:tab w:val="right" w:pos="9026"/>
      </w:tabs>
      <w:overflowPunct w:val="0"/>
      <w:autoSpaceDE w:val="0"/>
      <w:autoSpaceDN w:val="0"/>
      <w:adjustRightInd w:val="0"/>
      <w:spacing w:after="0" w:line="240" w:lineRule="auto"/>
      <w:jc w:val="both"/>
    </w:pPr>
    <w:r>
      <w:t>Ref: RM3830</w:t>
    </w:r>
    <w:r>
      <w:rPr>
        <w:rFonts w:eastAsia="Times New Roman" w:cs="Arial"/>
      </w:rPr>
      <w:tab/>
    </w:r>
  </w:p>
  <w:p w:rsidR="00DF71D2" w:rsidRDefault="00DF71D2">
    <w:pPr>
      <w:overflowPunct w:val="0"/>
      <w:autoSpaceDE w:val="0"/>
      <w:autoSpaceDN w:val="0"/>
      <w:adjustRightInd w:val="0"/>
      <w:spacing w:after="0" w:line="240" w:lineRule="auto"/>
      <w:jc w:val="both"/>
      <w:rPr>
        <w:rFonts w:eastAsia="Times New Roman"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863" w:rsidRDefault="004C2863">
      <w:pPr>
        <w:spacing w:after="0" w:line="240" w:lineRule="auto"/>
      </w:pPr>
      <w:r>
        <w:separator/>
      </w:r>
    </w:p>
  </w:footnote>
  <w:footnote w:type="continuationSeparator" w:id="0">
    <w:p w:rsidR="004C2863" w:rsidRDefault="004C2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1D2" w:rsidRDefault="007E4FD5">
    <w:pPr>
      <w:pStyle w:val="Header"/>
    </w:pPr>
    <w:r>
      <w:rPr>
        <w:b/>
      </w:rPr>
      <w:t>Call-Off Schedule 7 (Key Staff)</w:t>
    </w:r>
    <w:r>
      <w:rPr>
        <w:rStyle w:val="Emphasis"/>
        <w:noProof/>
        <w:lang w:eastAsia="en-GB"/>
      </w:rPr>
      <w:drawing>
        <wp:anchor distT="0" distB="0" distL="114300" distR="114300" simplePos="0" relativeHeight="251659264" behindDoc="0" locked="0" layoutInCell="1" allowOverlap="1">
          <wp:simplePos x="0" y="0"/>
          <wp:positionH relativeFrom="column">
            <wp:posOffset>5562510</wp:posOffset>
          </wp:positionH>
          <wp:positionV relativeFrom="paragraph">
            <wp:posOffset>-166007</wp:posOffset>
          </wp:positionV>
          <wp:extent cx="849085" cy="685627"/>
          <wp:effectExtent l="0" t="0" r="8255" b="635"/>
          <wp:wrapNone/>
          <wp:docPr id="1" name="Picture 1" descr="Crown Commercial Servi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9085" cy="685627"/>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722057">
      <w:rPr>
        <w:b/>
      </w:rPr>
      <w:t xml:space="preserve"> </w:t>
    </w:r>
    <w:r w:rsidR="006F4EF8">
      <w:rPr>
        <w:b/>
      </w:rPr>
      <w:t>Direct Award</w:t>
    </w:r>
    <w:r w:rsidR="00722057">
      <w:rPr>
        <w:b/>
      </w:rPr>
      <w:t xml:space="preserve"> v1.0</w:t>
    </w:r>
  </w:p>
  <w:p w:rsidR="00DF71D2" w:rsidRDefault="007E4FD5">
    <w:pPr>
      <w:pStyle w:val="Header"/>
    </w:pPr>
    <w:r>
      <w:t>Crown Copyright</w:t>
    </w:r>
    <w:r>
      <w:rPr>
        <w:rFonts w:ascii="Arial" w:hAnsi="Arial"/>
        <w:color w:val="000000"/>
        <w:sz w:val="16"/>
        <w:szCs w:val="16"/>
        <w:lang w:eastAsia="en-GB"/>
      </w:rPr>
      <w:t xml:space="preserve"> </w:t>
    </w:r>
    <w:r>
      <w:rPr>
        <w:rFonts w:asciiTheme="minorHAnsi" w:hAnsiTheme="minorHAnsi"/>
        <w:color w:val="000000"/>
        <w:szCs w:val="16"/>
        <w:lang w:eastAsia="en-GB"/>
      </w:rPr>
      <w:t>201</w:t>
    </w:r>
    <w:r w:rsidR="000B209C">
      <w:rPr>
        <w:rFonts w:asciiTheme="minorHAnsi" w:hAnsiTheme="minorHAnsi"/>
        <w:color w:val="000000"/>
        <w:szCs w:val="16"/>
        <w:lang w:eastAsia="en-GB"/>
      </w:rPr>
      <w:t>8</w:t>
    </w:r>
  </w:p>
  <w:p w:rsidR="00DF71D2" w:rsidRDefault="00DF7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2936E4"/>
    <w:multiLevelType w:val="multilevel"/>
    <w:tmpl w:val="9E48C0F8"/>
    <w:lvl w:ilvl="0">
      <w:start w:val="1"/>
      <w:numFmt w:val="decimal"/>
      <w:pStyle w:val="GPSL1CLAUSEHEADING"/>
      <w:lvlText w:val="%1."/>
      <w:lvlJc w:val="left"/>
      <w:pPr>
        <w:ind w:left="360" w:hanging="360"/>
      </w:pPr>
      <w:rPr>
        <w:rFonts w:ascii="Calibri" w:hAnsi="Calibri" w:cs="Arial" w:hint="default"/>
        <w:b/>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GPSL2NumberedBoldHeading"/>
      <w:isLgl/>
      <w:lvlText w:val="%1.%2"/>
      <w:lvlJc w:val="left"/>
      <w:pPr>
        <w:ind w:left="1494" w:hanging="360"/>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GPSL3numberedclause"/>
      <w:isLgl/>
      <w:lvlText w:val="%1.%2.%3"/>
      <w:lvlJc w:val="left"/>
      <w:pPr>
        <w:ind w:left="2422" w:hanging="720"/>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GPSL4numberedclause"/>
      <w:lvlText w:val="(%4)"/>
      <w:lvlJc w:val="left"/>
      <w:pPr>
        <w:ind w:left="2421" w:hanging="720"/>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GPSL5numberedclause"/>
      <w:lvlText w:val="(%5)"/>
      <w:lvlJc w:val="left"/>
      <w:pPr>
        <w:ind w:left="1440" w:hanging="108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pStyle w:val="GPSL6numbered"/>
      <w:lvlText w:val="(%6)"/>
      <w:lvlJc w:val="left"/>
      <w:pPr>
        <w:ind w:left="1440" w:hanging="108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1D2"/>
    <w:rsid w:val="000040E3"/>
    <w:rsid w:val="000B209C"/>
    <w:rsid w:val="001014FE"/>
    <w:rsid w:val="00146620"/>
    <w:rsid w:val="001A0074"/>
    <w:rsid w:val="002361D4"/>
    <w:rsid w:val="003C152F"/>
    <w:rsid w:val="004C2863"/>
    <w:rsid w:val="005538BB"/>
    <w:rsid w:val="006B76B8"/>
    <w:rsid w:val="006F4EF8"/>
    <w:rsid w:val="00722057"/>
    <w:rsid w:val="007E4FD5"/>
    <w:rsid w:val="00A4376D"/>
    <w:rsid w:val="00A461F3"/>
    <w:rsid w:val="00C23B6A"/>
    <w:rsid w:val="00CA3756"/>
    <w:rsid w:val="00CC1970"/>
    <w:rsid w:val="00DF71D2"/>
    <w:rsid w:val="00EA6664"/>
    <w:rsid w:val="00F6364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DD2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Emphasis">
    <w:name w:val="Emphasis"/>
    <w:basedOn w:val="DefaultParagraphFont"/>
    <w:rPr>
      <w:i/>
      <w:iCs/>
    </w:rPr>
  </w:style>
  <w:style w:type="paragraph" w:customStyle="1" w:styleId="GPSL1CLAUSEHEADING">
    <w:name w:val="GPS L1 CLAUSE HEADING"/>
    <w:basedOn w:val="Normal"/>
    <w:next w:val="Normal"/>
    <w:qFormat/>
    <w:pPr>
      <w:numPr>
        <w:numId w:val="1"/>
      </w:numPr>
      <w:tabs>
        <w:tab w:val="left" w:pos="142"/>
      </w:tabs>
      <w:adjustRightInd w:val="0"/>
      <w:spacing w:before="120" w:after="240" w:line="240" w:lineRule="auto"/>
      <w:ind w:left="426" w:hanging="426"/>
      <w:jc w:val="both"/>
      <w:outlineLvl w:val="1"/>
    </w:pPr>
    <w:rPr>
      <w:rFonts w:eastAsia="STZhongsong" w:cs="Arial"/>
      <w:b/>
      <w:caps/>
      <w:lang w:eastAsia="zh-CN"/>
    </w:rPr>
  </w:style>
  <w:style w:type="paragraph" w:customStyle="1" w:styleId="GPSL3numberedclause">
    <w:name w:val="GPS L3 numbered clause"/>
    <w:basedOn w:val="Normal"/>
    <w:link w:val="GPSL3numberedclauseChar"/>
    <w:qFormat/>
    <w:pPr>
      <w:numPr>
        <w:ilvl w:val="2"/>
        <w:numId w:val="1"/>
      </w:numPr>
      <w:tabs>
        <w:tab w:val="left" w:pos="1985"/>
      </w:tabs>
      <w:adjustRightInd w:val="0"/>
      <w:spacing w:before="120" w:after="120" w:line="240" w:lineRule="auto"/>
      <w:ind w:left="1985" w:hanging="851"/>
      <w:jc w:val="both"/>
    </w:pPr>
    <w:rPr>
      <w:rFonts w:eastAsia="Times New Roman" w:cs="Arial"/>
      <w:lang w:eastAsia="zh-CN"/>
    </w:rPr>
  </w:style>
  <w:style w:type="paragraph" w:customStyle="1" w:styleId="GPSL4numberedclause">
    <w:name w:val="GPS L4 numbered clause"/>
    <w:basedOn w:val="GPSL3numberedclause"/>
    <w:link w:val="GPSL4numberedclauseChar"/>
    <w:qFormat/>
    <w:pPr>
      <w:numPr>
        <w:ilvl w:val="3"/>
      </w:numPr>
      <w:tabs>
        <w:tab w:val="left" w:pos="2552"/>
      </w:tabs>
    </w:pPr>
  </w:style>
  <w:style w:type="paragraph" w:customStyle="1" w:styleId="GPSL5numberedclause">
    <w:name w:val="GPS L5 numbered clause"/>
    <w:basedOn w:val="GPSL4numberedclause"/>
    <w:qFormat/>
    <w:pPr>
      <w:numPr>
        <w:ilvl w:val="4"/>
      </w:numPr>
      <w:tabs>
        <w:tab w:val="num" w:pos="360"/>
        <w:tab w:val="left" w:pos="3119"/>
      </w:tabs>
      <w:ind w:left="3119" w:hanging="567"/>
    </w:pPr>
  </w:style>
  <w:style w:type="paragraph" w:customStyle="1" w:styleId="GPSL2NumberedBoldHeading">
    <w:name w:val="GPS L2 Numbered Bold Heading"/>
    <w:basedOn w:val="Normal"/>
    <w:qFormat/>
    <w:pPr>
      <w:numPr>
        <w:ilvl w:val="1"/>
        <w:numId w:val="1"/>
      </w:numPr>
      <w:tabs>
        <w:tab w:val="left" w:pos="1134"/>
      </w:tabs>
      <w:adjustRightInd w:val="0"/>
      <w:spacing w:before="120" w:after="120" w:line="240" w:lineRule="auto"/>
      <w:ind w:hanging="218"/>
      <w:jc w:val="both"/>
    </w:pPr>
    <w:rPr>
      <w:rFonts w:eastAsia="Times New Roman" w:cs="Arial"/>
      <w:b/>
      <w:lang w:eastAsia="zh-CN"/>
    </w:rPr>
  </w:style>
  <w:style w:type="paragraph" w:customStyle="1" w:styleId="GPSL6numbered">
    <w:name w:val="GPS L6 numbered"/>
    <w:basedOn w:val="GPSL5numberedclause"/>
    <w:qFormat/>
    <w:pPr>
      <w:numPr>
        <w:ilvl w:val="5"/>
      </w:numPr>
      <w:tabs>
        <w:tab w:val="num" w:pos="360"/>
        <w:tab w:val="left" w:pos="3686"/>
      </w:tabs>
      <w:ind w:left="3686" w:hanging="567"/>
    </w:pPr>
  </w:style>
  <w:style w:type="character" w:customStyle="1" w:styleId="GPSL3numberedclauseChar">
    <w:name w:val="GPS L3 numbered clause Char"/>
    <w:link w:val="GPSL3numberedclause"/>
    <w:locked/>
    <w:rPr>
      <w:rFonts w:ascii="Calibri" w:eastAsia="Times New Roman" w:hAnsi="Calibri" w:cs="Arial"/>
      <w:lang w:eastAsia="zh-CN"/>
    </w:rPr>
  </w:style>
  <w:style w:type="paragraph" w:customStyle="1" w:styleId="GPSL2numberedclause">
    <w:name w:val="GPS L2 numbered clause"/>
    <w:basedOn w:val="Normal"/>
    <w:link w:val="GPSL2numberedclauseChar1"/>
    <w:qFormat/>
    <w:pPr>
      <w:tabs>
        <w:tab w:val="left" w:pos="1134"/>
      </w:tabs>
      <w:adjustRightInd w:val="0"/>
      <w:spacing w:before="120" w:after="120" w:line="240" w:lineRule="auto"/>
      <w:ind w:left="1134" w:hanging="567"/>
      <w:jc w:val="both"/>
    </w:pPr>
    <w:rPr>
      <w:rFonts w:eastAsia="Times New Roman" w:cs="Arial"/>
      <w:lang w:eastAsia="zh-CN"/>
    </w:rPr>
  </w:style>
  <w:style w:type="character" w:customStyle="1" w:styleId="GPSL2numberedclauseChar1">
    <w:name w:val="GPS L2 numbered clause Char1"/>
    <w:link w:val="GPSL2numberedclause"/>
    <w:rPr>
      <w:rFonts w:ascii="Calibri" w:eastAsia="Times New Roman" w:hAnsi="Calibri" w:cs="Arial"/>
      <w:lang w:eastAsia="zh-CN"/>
    </w:rPr>
  </w:style>
  <w:style w:type="character" w:customStyle="1" w:styleId="GPSL4numberedclauseChar">
    <w:name w:val="GPS L4 numbered clause Char"/>
    <w:link w:val="GPSL4numberedclause"/>
    <w:rPr>
      <w:rFonts w:ascii="Calibri" w:eastAsia="Times New Roman" w:hAnsi="Calibri" w:cs="Arial"/>
      <w:lang w:eastAsia="zh-CN"/>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table" w:styleId="TableGrid">
    <w:name w:val="Table Grid"/>
    <w:basedOn w:val="TableNormal"/>
    <w:uiPriority w:val="59"/>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56899">
      <w:bodyDiv w:val="1"/>
      <w:marLeft w:val="0"/>
      <w:marRight w:val="0"/>
      <w:marTop w:val="0"/>
      <w:marBottom w:val="0"/>
      <w:divBdr>
        <w:top w:val="none" w:sz="0" w:space="0" w:color="auto"/>
        <w:left w:val="none" w:sz="0" w:space="0" w:color="auto"/>
        <w:bottom w:val="none" w:sz="0" w:space="0" w:color="auto"/>
        <w:right w:val="none" w:sz="0" w:space="0" w:color="auto"/>
      </w:divBdr>
    </w:div>
    <w:div w:id="600376283">
      <w:bodyDiv w:val="1"/>
      <w:marLeft w:val="0"/>
      <w:marRight w:val="0"/>
      <w:marTop w:val="0"/>
      <w:marBottom w:val="0"/>
      <w:divBdr>
        <w:top w:val="none" w:sz="0" w:space="0" w:color="auto"/>
        <w:left w:val="none" w:sz="0" w:space="0" w:color="auto"/>
        <w:bottom w:val="none" w:sz="0" w:space="0" w:color="auto"/>
        <w:right w:val="none" w:sz="0" w:space="0" w:color="auto"/>
      </w:divBdr>
    </w:div>
    <w:div w:id="744306858">
      <w:bodyDiv w:val="1"/>
      <w:marLeft w:val="0"/>
      <w:marRight w:val="0"/>
      <w:marTop w:val="0"/>
      <w:marBottom w:val="0"/>
      <w:divBdr>
        <w:top w:val="none" w:sz="0" w:space="0" w:color="auto"/>
        <w:left w:val="none" w:sz="0" w:space="0" w:color="auto"/>
        <w:bottom w:val="none" w:sz="0" w:space="0" w:color="auto"/>
        <w:right w:val="none" w:sz="0" w:space="0" w:color="auto"/>
      </w:divBdr>
    </w:div>
    <w:div w:id="1089618566">
      <w:bodyDiv w:val="1"/>
      <w:marLeft w:val="0"/>
      <w:marRight w:val="0"/>
      <w:marTop w:val="0"/>
      <w:marBottom w:val="0"/>
      <w:divBdr>
        <w:top w:val="none" w:sz="0" w:space="0" w:color="auto"/>
        <w:left w:val="none" w:sz="0" w:space="0" w:color="auto"/>
        <w:bottom w:val="none" w:sz="0" w:space="0" w:color="auto"/>
        <w:right w:val="none" w:sz="0" w:space="0" w:color="auto"/>
      </w:divBdr>
    </w:div>
    <w:div w:id="1453161745">
      <w:bodyDiv w:val="1"/>
      <w:marLeft w:val="0"/>
      <w:marRight w:val="0"/>
      <w:marTop w:val="0"/>
      <w:marBottom w:val="0"/>
      <w:divBdr>
        <w:top w:val="none" w:sz="0" w:space="0" w:color="auto"/>
        <w:left w:val="none" w:sz="0" w:space="0" w:color="auto"/>
        <w:bottom w:val="none" w:sz="0" w:space="0" w:color="auto"/>
        <w:right w:val="none" w:sz="0" w:space="0" w:color="auto"/>
      </w:divBdr>
    </w:div>
    <w:div w:id="1568882229">
      <w:bodyDiv w:val="1"/>
      <w:marLeft w:val="0"/>
      <w:marRight w:val="0"/>
      <w:marTop w:val="0"/>
      <w:marBottom w:val="0"/>
      <w:divBdr>
        <w:top w:val="none" w:sz="0" w:space="0" w:color="auto"/>
        <w:left w:val="none" w:sz="0" w:space="0" w:color="auto"/>
        <w:bottom w:val="none" w:sz="0" w:space="0" w:color="auto"/>
        <w:right w:val="none" w:sz="0" w:space="0" w:color="auto"/>
      </w:divBdr>
    </w:div>
    <w:div w:id="157293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54619-A28F-470E-847F-2EAA23303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2019-10-09T09:27:00Z</dcterms:created>
  <dcterms:modified xsi:type="dcterms:W3CDTF">2019-10-09T09:49:00Z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CurrentVersion">
    <vt:lpwstr>15 November 2017 D1V5</vt:lpwstr>
  </property>
</Properties>
</file>