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849" w:rsidRPr="005E4849" w:rsidRDefault="005E4849" w:rsidP="005E4849">
      <w:pPr>
        <w:overflowPunct/>
        <w:jc w:val="center"/>
        <w:textAlignment w:val="auto"/>
        <w:rPr>
          <w:b/>
          <w:caps/>
          <w:szCs w:val="24"/>
          <w:lang w:eastAsia="en-GB"/>
        </w:rPr>
      </w:pPr>
      <w:bookmarkStart w:id="0" w:name="_Toc366085199"/>
      <w:bookmarkStart w:id="1" w:name="_Toc380428759"/>
      <w:bookmarkStart w:id="2" w:name="_Toc414636901"/>
      <w:bookmarkStart w:id="3" w:name="_Toc431549095"/>
      <w:bookmarkStart w:id="4" w:name="_Toc480359532"/>
    </w:p>
    <w:p w:rsidR="005E4849" w:rsidRPr="005E4849" w:rsidRDefault="001B65E9" w:rsidP="005E4849">
      <w:pPr>
        <w:overflowPunct/>
        <w:spacing w:before="240" w:line="276" w:lineRule="auto"/>
        <w:jc w:val="center"/>
        <w:textAlignment w:val="auto"/>
        <w:rPr>
          <w:b/>
          <w:caps/>
          <w:szCs w:val="24"/>
          <w:lang w:eastAsia="en-GB"/>
        </w:rPr>
      </w:pPr>
      <w:r>
        <w:rPr>
          <w:b/>
          <w:caps/>
          <w:szCs w:val="24"/>
          <w:lang w:eastAsia="en-GB"/>
        </w:rPr>
        <w:t>BUYER</w:t>
      </w:r>
    </w:p>
    <w:p w:rsidR="005E4849" w:rsidRPr="005E4849" w:rsidRDefault="005E4849" w:rsidP="005E4849">
      <w:pPr>
        <w:overflowPunct/>
        <w:spacing w:before="240" w:line="276" w:lineRule="auto"/>
        <w:jc w:val="center"/>
        <w:textAlignment w:val="auto"/>
        <w:rPr>
          <w:b/>
          <w:caps/>
          <w:szCs w:val="24"/>
          <w:lang w:eastAsia="en-GB"/>
        </w:rPr>
      </w:pPr>
      <w:r w:rsidRPr="005E4849">
        <w:rPr>
          <w:b/>
          <w:caps/>
          <w:szCs w:val="24"/>
          <w:lang w:eastAsia="en-GB"/>
        </w:rPr>
        <w:t>AND</w:t>
      </w:r>
    </w:p>
    <w:p w:rsidR="005E4849" w:rsidRPr="005E4849" w:rsidRDefault="005E4849" w:rsidP="005E4849">
      <w:pPr>
        <w:overflowPunct/>
        <w:spacing w:before="240" w:line="276" w:lineRule="auto"/>
        <w:jc w:val="center"/>
        <w:textAlignment w:val="auto"/>
        <w:rPr>
          <w:b/>
          <w:caps/>
          <w:szCs w:val="24"/>
          <w:lang w:eastAsia="en-GB"/>
        </w:rPr>
      </w:pPr>
      <w:r w:rsidRPr="005E4849">
        <w:rPr>
          <w:b/>
          <w:caps/>
          <w:szCs w:val="24"/>
          <w:lang w:eastAsia="en-GB"/>
        </w:rPr>
        <w:t>SUPPLIER</w:t>
      </w:r>
    </w:p>
    <w:p w:rsidR="005E4849" w:rsidRPr="005E4849" w:rsidRDefault="005E4849" w:rsidP="005E4849">
      <w:pPr>
        <w:overflowPunct/>
        <w:spacing w:before="240" w:line="276" w:lineRule="auto"/>
        <w:jc w:val="center"/>
        <w:textAlignment w:val="auto"/>
        <w:rPr>
          <w:b/>
          <w:caps/>
          <w:szCs w:val="24"/>
          <w:lang w:eastAsia="en-GB"/>
        </w:rPr>
      </w:pPr>
      <w:r w:rsidRPr="005E4849">
        <w:rPr>
          <w:b/>
          <w:caps/>
          <w:szCs w:val="24"/>
          <w:lang w:eastAsia="en-GB"/>
        </w:rPr>
        <w:t>FACILITIES MANAGEMENT MARKETPLACE CONTRACT</w:t>
      </w:r>
    </w:p>
    <w:p w:rsidR="005E4849" w:rsidRPr="005E4849" w:rsidRDefault="005E4849" w:rsidP="005E4849">
      <w:pPr>
        <w:overflowPunct/>
        <w:spacing w:before="240" w:line="276" w:lineRule="auto"/>
        <w:jc w:val="center"/>
        <w:textAlignment w:val="auto"/>
        <w:rPr>
          <w:b/>
          <w:caps/>
          <w:szCs w:val="24"/>
          <w:lang w:eastAsia="en-GB"/>
        </w:rPr>
      </w:pPr>
      <w:r w:rsidRPr="005E4849">
        <w:rPr>
          <w:b/>
          <w:caps/>
          <w:szCs w:val="24"/>
          <w:lang w:eastAsia="en-GB"/>
        </w:rPr>
        <w:t>REF: RM3830</w:t>
      </w:r>
    </w:p>
    <w:p w:rsidR="005E4849" w:rsidRPr="005E4849" w:rsidRDefault="005E4849" w:rsidP="005E4849">
      <w:pPr>
        <w:overflowPunct/>
        <w:spacing w:after="0"/>
        <w:textAlignment w:val="auto"/>
        <w:rPr>
          <w:b/>
          <w:sz w:val="20"/>
          <w:szCs w:val="24"/>
          <w:lang w:eastAsia="en-GB"/>
        </w:rPr>
      </w:pPr>
    </w:p>
    <w:p w:rsidR="005E4849" w:rsidRPr="005E4849" w:rsidRDefault="005E4849" w:rsidP="005E4849">
      <w:pPr>
        <w:overflowPunct/>
        <w:spacing w:after="0"/>
        <w:textAlignment w:val="auto"/>
        <w:rPr>
          <w:b/>
          <w:sz w:val="20"/>
          <w:szCs w:val="24"/>
          <w:lang w:eastAsia="en-GB"/>
        </w:rPr>
      </w:pPr>
    </w:p>
    <w:p w:rsidR="005E4849" w:rsidRPr="005E4849" w:rsidRDefault="005E4849" w:rsidP="005E4849">
      <w:pPr>
        <w:overflowPunct/>
        <w:textAlignment w:val="auto"/>
        <w:rPr>
          <w:sz w:val="20"/>
          <w:szCs w:val="24"/>
          <w:lang w:eastAsia="en-GB"/>
        </w:rPr>
      </w:pPr>
    </w:p>
    <w:p w:rsidR="005E4849" w:rsidRPr="005E4849" w:rsidRDefault="005E4849" w:rsidP="005E4849">
      <w:pPr>
        <w:overflowPunct/>
        <w:textAlignment w:val="auto"/>
        <w:rPr>
          <w:sz w:val="20"/>
          <w:szCs w:val="24"/>
          <w:lang w:eastAsia="en-GB"/>
        </w:rPr>
      </w:pPr>
    </w:p>
    <w:p w:rsidR="005E4849" w:rsidRPr="005E4849" w:rsidRDefault="005E4849" w:rsidP="005E4849">
      <w:pPr>
        <w:overflowPunct/>
        <w:textAlignment w:val="auto"/>
        <w:rPr>
          <w:sz w:val="20"/>
          <w:szCs w:val="24"/>
          <w:lang w:eastAsia="en-GB"/>
        </w:rPr>
      </w:pPr>
    </w:p>
    <w:p w:rsidR="005E4849" w:rsidRDefault="005E4849">
      <w:pPr>
        <w:overflowPunct/>
        <w:autoSpaceDE/>
        <w:autoSpaceDN/>
        <w:adjustRightInd/>
        <w:spacing w:after="200" w:line="276" w:lineRule="auto"/>
        <w:jc w:val="left"/>
        <w:textAlignment w:val="auto"/>
        <w:rPr>
          <w:b/>
          <w:caps/>
        </w:rPr>
      </w:pPr>
      <w:r>
        <w:rPr>
          <w:b/>
          <w:caps/>
        </w:rPr>
        <w:br w:type="page"/>
      </w:r>
      <w:bookmarkStart w:id="5" w:name="_GoBack"/>
      <w:bookmarkEnd w:id="5"/>
    </w:p>
    <w:p w:rsidR="00164076" w:rsidRDefault="00995E72" w:rsidP="00110152">
      <w:pPr>
        <w:overflowPunct/>
        <w:autoSpaceDE/>
        <w:autoSpaceDN/>
        <w:adjustRightInd/>
        <w:spacing w:after="200" w:line="276" w:lineRule="auto"/>
        <w:jc w:val="center"/>
        <w:textAlignment w:val="auto"/>
        <w:rPr>
          <w:rFonts w:asciiTheme="minorHAnsi" w:eastAsia="STZhongsong" w:hAnsiTheme="minorHAnsi" w:cs="Times New Roman"/>
          <w:b/>
          <w:caps/>
          <w:lang w:eastAsia="zh-CN"/>
        </w:rPr>
      </w:pPr>
      <w:r>
        <w:rPr>
          <w:b/>
          <w:caps/>
        </w:rPr>
        <w:lastRenderedPageBreak/>
        <w:t>FACILITIES MANAGEMENT marketplace contract</w:t>
      </w:r>
    </w:p>
    <w:p w:rsidR="00164076" w:rsidRDefault="000509D3">
      <w:pPr>
        <w:pStyle w:val="GPSSchTitleandNumber"/>
        <w:rPr>
          <w:rFonts w:asciiTheme="minorHAnsi" w:hAnsiTheme="minorHAnsi"/>
        </w:rPr>
      </w:pPr>
      <w:r>
        <w:rPr>
          <w:rFonts w:asciiTheme="minorHAnsi" w:hAnsiTheme="minorHAnsi"/>
        </w:rPr>
        <w:t>JOINT SCHEDULE 3</w:t>
      </w:r>
    </w:p>
    <w:p w:rsidR="00164076" w:rsidRDefault="000509D3">
      <w:pPr>
        <w:pStyle w:val="GPSSchTitleandNumber"/>
        <w:rPr>
          <w:rFonts w:asciiTheme="minorHAnsi" w:hAnsiTheme="minorHAnsi"/>
        </w:rPr>
      </w:pPr>
      <w:r>
        <w:rPr>
          <w:rFonts w:asciiTheme="minorHAnsi" w:hAnsiTheme="minorHAnsi"/>
        </w:rPr>
        <w:t>INSURANCE REQUIREMENTS</w:t>
      </w:r>
      <w:bookmarkEnd w:id="0"/>
      <w:bookmarkEnd w:id="1"/>
      <w:bookmarkEnd w:id="2"/>
      <w:bookmarkEnd w:id="3"/>
      <w:bookmarkEnd w:id="4"/>
    </w:p>
    <w:p w:rsidR="00164076" w:rsidRDefault="000509D3">
      <w:pPr>
        <w:pStyle w:val="GPSL1SCHEDULEHeading"/>
        <w:keepNext/>
      </w:pPr>
      <w:r>
        <w:t>OBLIGATION TO MAINTAIN INSURANCES</w:t>
      </w:r>
    </w:p>
    <w:p w:rsidR="00164076" w:rsidRDefault="000509D3">
      <w:pPr>
        <w:pStyle w:val="GPSL2Numbered"/>
        <w:ind w:left="900" w:hanging="540"/>
        <w:rPr>
          <w:rFonts w:asciiTheme="minorHAnsi" w:hAnsiTheme="minorHAnsi"/>
        </w:rPr>
      </w:pPr>
      <w:r>
        <w:rPr>
          <w:rFonts w:asciiTheme="minorHAnsi" w:hAnsiTheme="minorHAnsi"/>
        </w:rPr>
        <w:t xml:space="preserve">The Supplier shall take out and maintain, or procure the taking out and maintenance of the insurances as set out in the </w:t>
      </w:r>
      <w:r w:rsidRPr="00033E05">
        <w:rPr>
          <w:rFonts w:asciiTheme="minorHAnsi" w:hAnsiTheme="minorHAnsi"/>
        </w:rPr>
        <w:t>Annex</w:t>
      </w:r>
      <w:r>
        <w:rPr>
          <w:rFonts w:asciiTheme="minorHAnsi" w:hAnsiTheme="minorHAnsi"/>
        </w:rPr>
        <w:t> to this Schedule, any additional insurances required under a Call-Off Contract (specified in the applicable Order Form) ("</w:t>
      </w:r>
      <w:r>
        <w:rPr>
          <w:rFonts w:asciiTheme="minorHAnsi" w:hAnsiTheme="minorHAnsi"/>
          <w:b/>
        </w:rPr>
        <w:t>Additional Insurances</w:t>
      </w:r>
      <w:r>
        <w:rPr>
          <w:rFonts w:asciiTheme="minorHAnsi" w:hAnsiTheme="minorHAnsi"/>
        </w:rPr>
        <w:t>") and any other insurances as may be required by applicable Law (together the “</w:t>
      </w:r>
      <w:r>
        <w:rPr>
          <w:rFonts w:asciiTheme="minorHAnsi" w:hAnsiTheme="minorHAnsi"/>
          <w:b/>
        </w:rPr>
        <w:t>Insurances</w:t>
      </w:r>
      <w:r>
        <w:rPr>
          <w:rFonts w:asciiTheme="minorHAnsi" w:hAnsiTheme="minorHAnsi"/>
        </w:rPr>
        <w:t xml:space="preserve">”).  The Supplier shall ensure that each of the Insurances is effective no later than: </w:t>
      </w:r>
    </w:p>
    <w:p w:rsidR="00164076" w:rsidRDefault="000509D3">
      <w:pPr>
        <w:pStyle w:val="GPSL3numberedclause"/>
        <w:ind w:left="1620"/>
        <w:rPr>
          <w:rFonts w:asciiTheme="minorHAnsi" w:hAnsiTheme="minorHAnsi"/>
        </w:rPr>
      </w:pPr>
      <w:r>
        <w:rPr>
          <w:rFonts w:asciiTheme="minorHAnsi" w:hAnsiTheme="minorHAnsi"/>
        </w:rPr>
        <w:t xml:space="preserve">the Framework Start Date in respect of those Insurances set out in the Annex to this Schedule and those required by applicable Law; and </w:t>
      </w:r>
    </w:p>
    <w:p w:rsidR="00164076" w:rsidRDefault="000509D3">
      <w:pPr>
        <w:pStyle w:val="GPSL3numberedclause"/>
        <w:ind w:left="1620"/>
        <w:rPr>
          <w:rFonts w:asciiTheme="minorHAnsi" w:hAnsiTheme="minorHAnsi"/>
        </w:rPr>
      </w:pPr>
      <w:proofErr w:type="gramStart"/>
      <w:r>
        <w:rPr>
          <w:rFonts w:asciiTheme="minorHAnsi" w:hAnsiTheme="minorHAnsi"/>
        </w:rPr>
        <w:t>the</w:t>
      </w:r>
      <w:proofErr w:type="gramEnd"/>
      <w:r>
        <w:rPr>
          <w:rFonts w:asciiTheme="minorHAnsi" w:hAnsiTheme="minorHAnsi"/>
        </w:rPr>
        <w:t xml:space="preserve"> Call-Off Contract Effective Date in respect of the Additional Insurances.</w:t>
      </w:r>
    </w:p>
    <w:p w:rsidR="00164076" w:rsidRDefault="000509D3">
      <w:pPr>
        <w:pStyle w:val="GPSL2Numbered"/>
        <w:keepNext/>
        <w:ind w:left="900" w:hanging="540"/>
        <w:rPr>
          <w:rFonts w:asciiTheme="minorHAnsi" w:hAnsiTheme="minorHAnsi"/>
        </w:rPr>
      </w:pPr>
      <w:r>
        <w:rPr>
          <w:rFonts w:asciiTheme="minorHAnsi" w:hAnsiTheme="minorHAnsi"/>
        </w:rPr>
        <w:t xml:space="preserve">The Insurances shall be: </w:t>
      </w:r>
    </w:p>
    <w:p w:rsidR="00164076" w:rsidRDefault="000509D3">
      <w:pPr>
        <w:pStyle w:val="GPSL3numberedclause"/>
        <w:ind w:left="1620"/>
        <w:rPr>
          <w:rFonts w:asciiTheme="minorHAnsi" w:hAnsiTheme="minorHAnsi"/>
        </w:rPr>
      </w:pPr>
      <w:r>
        <w:rPr>
          <w:rFonts w:asciiTheme="minorHAnsi" w:hAnsiTheme="minorHAnsi"/>
        </w:rPr>
        <w:t xml:space="preserve">maintained in accordance with Good Industry Practice; </w:t>
      </w:r>
    </w:p>
    <w:p w:rsidR="00164076" w:rsidRDefault="000509D3">
      <w:pPr>
        <w:pStyle w:val="GPSL3numberedclause"/>
        <w:ind w:left="1620"/>
        <w:rPr>
          <w:rFonts w:asciiTheme="minorHAnsi" w:hAnsiTheme="minorHAnsi"/>
        </w:rPr>
      </w:pPr>
      <w:r>
        <w:rPr>
          <w:rFonts w:asciiTheme="minorHAnsi" w:hAnsiTheme="minorHAnsi"/>
        </w:rPr>
        <w:t>(so far as is reasonably practicable) on terms no less favourable than those generally available to a prudent contractor in respect of risks insured in the international insurance market from time to time;</w:t>
      </w:r>
    </w:p>
    <w:p w:rsidR="00164076" w:rsidRDefault="000509D3">
      <w:pPr>
        <w:pStyle w:val="GPSL3numberedclause"/>
        <w:ind w:left="1620"/>
        <w:rPr>
          <w:rFonts w:asciiTheme="minorHAnsi" w:hAnsiTheme="minorHAnsi"/>
        </w:rPr>
      </w:pPr>
      <w:r>
        <w:rPr>
          <w:rFonts w:asciiTheme="minorHAnsi" w:hAnsiTheme="minorHAnsi"/>
        </w:rPr>
        <w:t>taken out and maintained with insurers of good financial standing and good repute in the international insurance market; and</w:t>
      </w:r>
    </w:p>
    <w:p w:rsidR="00164076" w:rsidRDefault="000509D3">
      <w:pPr>
        <w:pStyle w:val="GPSL3numberedclause"/>
        <w:ind w:left="1620"/>
        <w:rPr>
          <w:rFonts w:asciiTheme="minorHAnsi" w:hAnsiTheme="minorHAnsi"/>
        </w:rPr>
      </w:pPr>
      <w:proofErr w:type="gramStart"/>
      <w:r>
        <w:rPr>
          <w:rFonts w:asciiTheme="minorHAnsi" w:hAnsiTheme="minorHAnsi"/>
        </w:rPr>
        <w:t>maintained</w:t>
      </w:r>
      <w:proofErr w:type="gramEnd"/>
      <w:r>
        <w:rPr>
          <w:rFonts w:asciiTheme="minorHAnsi" w:hAnsiTheme="minorHAnsi"/>
        </w:rPr>
        <w:t xml:space="preserve"> for at least six (6) years after the End Date.</w:t>
      </w:r>
    </w:p>
    <w:p w:rsidR="00164076" w:rsidRDefault="000509D3">
      <w:pPr>
        <w:pStyle w:val="GPSL2Numbered"/>
        <w:ind w:left="900" w:hanging="540"/>
        <w:rPr>
          <w:rFonts w:asciiTheme="minorHAnsi" w:hAnsiTheme="minorHAnsi"/>
        </w:rPr>
      </w:pPr>
      <w:r>
        <w:rPr>
          <w:rFonts w:asciiTheme="minorHAnsi" w:hAnsiTheme="minorHAnsi"/>
        </w:rPr>
        <w:t>The Supplier shall ensure that the public and products liability policy contain an indemnity to principals clause under which the Relevant Authority shall be indemnified in respect of claims made against the Relevant Authority in respect of death or bodily injury or third party property damage arising out of or in connection with the Deliverables and for which the Supplier is legally liable.</w:t>
      </w:r>
    </w:p>
    <w:p w:rsidR="00164076" w:rsidRDefault="000509D3">
      <w:pPr>
        <w:pStyle w:val="GPSL1SCHEDULEHeading"/>
        <w:keepNext/>
        <w:rPr>
          <w:rFonts w:asciiTheme="minorHAnsi" w:hAnsiTheme="minorHAnsi"/>
        </w:rPr>
      </w:pPr>
      <w:r>
        <w:rPr>
          <w:rFonts w:asciiTheme="minorHAnsi" w:hAnsiTheme="minorHAnsi"/>
        </w:rPr>
        <w:t>GENERAL OBLIGATIONS</w:t>
      </w:r>
    </w:p>
    <w:p w:rsidR="00164076" w:rsidRDefault="000509D3">
      <w:pPr>
        <w:pStyle w:val="GPSL2Numbered"/>
        <w:keepNext/>
        <w:ind w:left="900" w:hanging="540"/>
        <w:rPr>
          <w:rFonts w:asciiTheme="minorHAnsi" w:hAnsiTheme="minorHAnsi"/>
        </w:rPr>
      </w:pPr>
      <w:r>
        <w:rPr>
          <w:rFonts w:asciiTheme="minorHAnsi" w:hAnsiTheme="minorHAnsi"/>
        </w:rPr>
        <w:t>Without limiting the other provisions of this Contract, the Supplier shall:</w:t>
      </w:r>
    </w:p>
    <w:p w:rsidR="00164076" w:rsidRDefault="000509D3">
      <w:pPr>
        <w:pStyle w:val="GPSL3numberedclause"/>
        <w:tabs>
          <w:tab w:val="left" w:pos="2835"/>
        </w:tabs>
        <w:ind w:left="1620"/>
        <w:rPr>
          <w:rFonts w:asciiTheme="minorHAnsi" w:hAnsiTheme="minorHAnsi"/>
        </w:rPr>
      </w:pPr>
      <w:r>
        <w:rPr>
          <w:rFonts w:asciiTheme="minorHAnsi" w:hAnsiTheme="minorHAnsi"/>
        </w:rPr>
        <w:t>take or procure the taking of all reasonable risk management and risk control measures in relation to Deliverables as it would be reasonable to expect of a prudent contractor acting in accordance with Good Industry Practice, including the investigation and reports of relevant claims to insurers;</w:t>
      </w:r>
    </w:p>
    <w:p w:rsidR="00164076" w:rsidRDefault="000509D3">
      <w:pPr>
        <w:pStyle w:val="GPSL3numberedclause"/>
        <w:tabs>
          <w:tab w:val="left" w:pos="2835"/>
        </w:tabs>
        <w:ind w:left="1620"/>
        <w:rPr>
          <w:rFonts w:asciiTheme="minorHAnsi" w:hAnsiTheme="minorHAnsi"/>
        </w:rPr>
      </w:pPr>
      <w:r>
        <w:rPr>
          <w:rFonts w:asciiTheme="minorHAnsi" w:hAnsiTheme="minorHAnsi"/>
        </w:rPr>
        <w:t>promptly notify the insurers in writing of any relevant material fact under any Insurances of which the Supplier is or becomes aware; and</w:t>
      </w:r>
    </w:p>
    <w:p w:rsidR="00164076" w:rsidRDefault="000509D3">
      <w:pPr>
        <w:pStyle w:val="GPSL3numberedclause"/>
        <w:tabs>
          <w:tab w:val="left" w:pos="2835"/>
        </w:tabs>
        <w:ind w:left="1620"/>
        <w:rPr>
          <w:rFonts w:asciiTheme="minorHAnsi" w:hAnsiTheme="minorHAnsi"/>
        </w:rPr>
      </w:pPr>
      <w:proofErr w:type="gramStart"/>
      <w:r>
        <w:rPr>
          <w:rFonts w:asciiTheme="minorHAnsi" w:hAnsiTheme="minorHAnsi"/>
        </w:rPr>
        <w:t>hold</w:t>
      </w:r>
      <w:proofErr w:type="gramEnd"/>
      <w:r>
        <w:rPr>
          <w:rFonts w:asciiTheme="minorHAnsi" w:hAnsiTheme="minorHAnsi"/>
        </w:rPr>
        <w:t xml:space="preserve"> all policies in respect of the Insurances and cause any insurance broker effecting the Insurances to hold any insurance slips and other evidence of placing cover representing any of the Insurances to which it is a party.</w:t>
      </w:r>
    </w:p>
    <w:p w:rsidR="00164076" w:rsidRDefault="000509D3">
      <w:pPr>
        <w:pStyle w:val="GPSL1SCHEDULEHeading"/>
        <w:keepNext/>
        <w:rPr>
          <w:rFonts w:asciiTheme="minorHAnsi" w:hAnsiTheme="minorHAnsi"/>
        </w:rPr>
      </w:pPr>
      <w:r>
        <w:rPr>
          <w:rFonts w:asciiTheme="minorHAnsi" w:hAnsiTheme="minorHAnsi"/>
        </w:rPr>
        <w:t>FAILURE TO INSURE</w:t>
      </w:r>
    </w:p>
    <w:p w:rsidR="00164076" w:rsidRDefault="000509D3">
      <w:pPr>
        <w:pStyle w:val="GPSL2Numbered"/>
        <w:ind w:left="900" w:hanging="540"/>
        <w:rPr>
          <w:rFonts w:asciiTheme="minorHAnsi" w:hAnsiTheme="minorHAnsi"/>
        </w:rPr>
      </w:pPr>
      <w:r>
        <w:rPr>
          <w:rFonts w:asciiTheme="minorHAnsi" w:hAnsiTheme="minorHAnsi"/>
        </w:rPr>
        <w:t>The Supplier shall not take any action or fail to take any action or (insofar as is reasonably within its power) permit anything to occur in relation to it which would entitle any insurer to refuse to pay any claim under any of the Insurances.</w:t>
      </w:r>
    </w:p>
    <w:p w:rsidR="00164076" w:rsidRDefault="000509D3">
      <w:pPr>
        <w:pStyle w:val="GPSL2Numbered"/>
        <w:ind w:left="900" w:hanging="540"/>
        <w:rPr>
          <w:rFonts w:asciiTheme="minorHAnsi" w:hAnsiTheme="minorHAnsi"/>
        </w:rPr>
      </w:pPr>
      <w:r>
        <w:rPr>
          <w:rFonts w:asciiTheme="minorHAnsi" w:hAnsiTheme="minorHAnsi"/>
        </w:rPr>
        <w:lastRenderedPageBreak/>
        <w:t>Where the Supplier has failed to purchase or maintain any of the Insurances in full force and effect, the Relevant Authority may elect (but shall not be obliged) following written notice to the Supplier to purchase the relevant Insurances and recover the reasonable premium and other reasonable costs incurred in connection therewith as a debt due from the Supplier.</w:t>
      </w:r>
    </w:p>
    <w:p w:rsidR="00164076" w:rsidRDefault="000509D3">
      <w:pPr>
        <w:pStyle w:val="GPSL1SCHEDULEHeading"/>
        <w:keepNext/>
        <w:rPr>
          <w:rFonts w:asciiTheme="minorHAnsi" w:hAnsiTheme="minorHAnsi"/>
        </w:rPr>
      </w:pPr>
      <w:r>
        <w:rPr>
          <w:rFonts w:asciiTheme="minorHAnsi" w:hAnsiTheme="minorHAnsi"/>
        </w:rPr>
        <w:t>EVIDENCE OF POLICIES</w:t>
      </w:r>
    </w:p>
    <w:p w:rsidR="00164076" w:rsidRDefault="000509D3">
      <w:pPr>
        <w:pStyle w:val="GPSL2Numbered"/>
        <w:ind w:left="900" w:hanging="540"/>
        <w:rPr>
          <w:rFonts w:asciiTheme="minorHAnsi" w:hAnsiTheme="minorHAnsi"/>
          <w:caps/>
        </w:rPr>
      </w:pPr>
      <w:r>
        <w:rPr>
          <w:rFonts w:asciiTheme="minorHAnsi" w:hAnsiTheme="minorHAnsi"/>
        </w:rPr>
        <w:t>The Supplier shall upon the Start Date and within 15 Working Days after the renewal of each of the Insurances, provide evidence, in a form satisfactory to the Relevant Authority, that the Insurances are in force and effect and meet in full the requirements of this Schedule.</w:t>
      </w:r>
    </w:p>
    <w:p w:rsidR="00164076" w:rsidRDefault="000509D3">
      <w:pPr>
        <w:pStyle w:val="GPSL1SCHEDULEHeading"/>
        <w:keepNext/>
        <w:rPr>
          <w:rFonts w:asciiTheme="minorHAnsi" w:hAnsiTheme="minorHAnsi"/>
        </w:rPr>
      </w:pPr>
      <w:r>
        <w:rPr>
          <w:rFonts w:asciiTheme="minorHAnsi" w:hAnsiTheme="minorHAnsi"/>
        </w:rPr>
        <w:t xml:space="preserve">AGGREGATE LIMIT OF INDEMNITY </w:t>
      </w:r>
    </w:p>
    <w:p w:rsidR="00164076" w:rsidRDefault="000509D3">
      <w:pPr>
        <w:pStyle w:val="GPSL2Numbered"/>
        <w:ind w:left="900" w:hanging="540"/>
        <w:rPr>
          <w:rFonts w:asciiTheme="minorHAnsi" w:hAnsiTheme="minorHAnsi"/>
          <w:caps/>
        </w:rPr>
      </w:pPr>
      <w:bookmarkStart w:id="6" w:name="_Ref492564700"/>
      <w:r>
        <w:rPr>
          <w:rFonts w:asciiTheme="minorHAnsi" w:hAnsiTheme="minorHAnsi"/>
        </w:rPr>
        <w:t>The Supplier shall ensure that any Insurances which are stated to have a minimum limit "in the aggregate" are maintained at all times for the minimum limit of indemnity specified in this Contract and if any claims are made which do not relate to this Contract then the Supplier shall notify the Relevant Authority and provide details of its proposed solution for maintaining the minimum limit of indemnity.</w:t>
      </w:r>
      <w:bookmarkEnd w:id="6"/>
    </w:p>
    <w:p w:rsidR="00164076" w:rsidRDefault="000509D3">
      <w:pPr>
        <w:pStyle w:val="GPSL1SCHEDULEHeading"/>
        <w:keepNext/>
        <w:rPr>
          <w:rFonts w:asciiTheme="minorHAnsi" w:hAnsiTheme="minorHAnsi"/>
        </w:rPr>
      </w:pPr>
      <w:r>
        <w:rPr>
          <w:rFonts w:asciiTheme="minorHAnsi" w:hAnsiTheme="minorHAnsi"/>
        </w:rPr>
        <w:t>CANCELLATION</w:t>
      </w:r>
    </w:p>
    <w:p w:rsidR="00164076" w:rsidRDefault="000509D3">
      <w:pPr>
        <w:pStyle w:val="GPSL2Numbered"/>
        <w:ind w:left="900" w:hanging="540"/>
        <w:rPr>
          <w:rFonts w:asciiTheme="minorHAnsi" w:hAnsiTheme="minorHAnsi"/>
          <w:caps/>
        </w:rPr>
      </w:pPr>
      <w:r>
        <w:rPr>
          <w:rFonts w:asciiTheme="minorHAnsi" w:hAnsiTheme="minorHAnsi"/>
        </w:rPr>
        <w:t>The Supplier shall notify the Relevant Authority in writing at least five (5) Working Days prior to the cancellation, suspension, termination or non-renewal of any of the Insurances.</w:t>
      </w:r>
    </w:p>
    <w:p w:rsidR="00164076" w:rsidRDefault="000509D3">
      <w:pPr>
        <w:pStyle w:val="GPSL2Numbered"/>
        <w:ind w:left="900" w:hanging="540"/>
        <w:rPr>
          <w:rFonts w:asciiTheme="minorHAnsi" w:hAnsiTheme="minorHAnsi"/>
          <w:caps/>
        </w:rPr>
      </w:pPr>
      <w:r>
        <w:rPr>
          <w:rFonts w:asciiTheme="minorHAnsi" w:hAnsiTheme="minorHAnsi"/>
        </w:rPr>
        <w:t>The Supplier shall ensure that nothing is done which would entitle the relevant insurer to cancel, rescind or suspend any insurance or cover, or to treat any insurance, cover or claim as voided in whole or part.  The Supplier shall use all reasonable endeavours to notify the Relevant Authority (subject to third party confidentiality obligations) as soon as practicable when it becomes aware of any relevant fact, circumstance or matter which has caused, or is reasonably likely to provide grounds to, the relevant insurer to give notice to cancel, rescind, suspend or void any insurance, or any cover or claim under any insurance in whole or in part.</w:t>
      </w:r>
    </w:p>
    <w:p w:rsidR="00164076" w:rsidRDefault="000509D3">
      <w:pPr>
        <w:pStyle w:val="GPSL1SCHEDULEHeading"/>
        <w:keepNext/>
        <w:rPr>
          <w:rFonts w:asciiTheme="minorHAnsi" w:hAnsiTheme="minorHAnsi"/>
        </w:rPr>
      </w:pPr>
      <w:r>
        <w:rPr>
          <w:rFonts w:asciiTheme="minorHAnsi" w:hAnsiTheme="minorHAnsi"/>
        </w:rPr>
        <w:t xml:space="preserve">INSURANCE CLAIMS </w:t>
      </w:r>
    </w:p>
    <w:p w:rsidR="00164076" w:rsidRDefault="000509D3">
      <w:pPr>
        <w:pStyle w:val="GPSL2Numbered"/>
        <w:ind w:left="900" w:hanging="540"/>
        <w:rPr>
          <w:rFonts w:asciiTheme="minorHAnsi" w:hAnsiTheme="minorHAnsi"/>
        </w:rPr>
      </w:pPr>
      <w:r>
        <w:rPr>
          <w:rFonts w:asciiTheme="minorHAnsi" w:hAnsiTheme="minorHAnsi"/>
        </w:rPr>
        <w:t>The Supplier shall promptly notify to insurers any matter arising from, or in relation to, the Deliverables, or each Contract for which it may be entitled to claim under any of the Insurances.  In the event that the Relevant Authority receives a claim relating to or arising out of a Contract or the Deliverables, the Supplier shall co-operate with the Relevant Authority and assist it in dealing with such claims including without limitation providing information and documentation in a timely manner.</w:t>
      </w:r>
    </w:p>
    <w:p w:rsidR="00164076" w:rsidRDefault="000509D3">
      <w:pPr>
        <w:pStyle w:val="GPSL2Numbered"/>
        <w:ind w:left="900" w:hanging="540"/>
        <w:rPr>
          <w:rFonts w:asciiTheme="minorHAnsi" w:hAnsiTheme="minorHAnsi"/>
        </w:rPr>
      </w:pPr>
      <w:proofErr w:type="gramStart"/>
      <w:r>
        <w:rPr>
          <w:rFonts w:asciiTheme="minorHAnsi" w:hAnsiTheme="minorHAnsi"/>
        </w:rPr>
        <w:t xml:space="preserve">Except where the Relevant Authority is the claimant party, the Supplier shall give the Relevant Authority notice within twenty (20) Working Days after any insurance claim in excess of 10% of the sum required to be insured pursuant to Paragraph </w:t>
      </w:r>
      <w:r>
        <w:rPr>
          <w:rFonts w:asciiTheme="minorHAnsi" w:hAnsiTheme="minorHAnsi"/>
        </w:rPr>
        <w:fldChar w:fldCharType="begin"/>
      </w:r>
      <w:r>
        <w:rPr>
          <w:rFonts w:asciiTheme="minorHAnsi" w:hAnsiTheme="minorHAnsi"/>
        </w:rPr>
        <w:instrText xml:space="preserve"> REF _Ref492564700 \r \h  \* MERGEFORMAT </w:instrText>
      </w:r>
      <w:r>
        <w:rPr>
          <w:rFonts w:asciiTheme="minorHAnsi" w:hAnsiTheme="minorHAnsi"/>
        </w:rPr>
      </w:r>
      <w:r>
        <w:rPr>
          <w:rFonts w:asciiTheme="minorHAnsi" w:hAnsiTheme="minorHAnsi"/>
        </w:rPr>
        <w:fldChar w:fldCharType="separate"/>
      </w:r>
      <w:r>
        <w:rPr>
          <w:rFonts w:asciiTheme="minorHAnsi" w:hAnsiTheme="minorHAnsi"/>
        </w:rPr>
        <w:t>5.1</w:t>
      </w:r>
      <w:r>
        <w:rPr>
          <w:rFonts w:asciiTheme="minorHAnsi" w:hAnsiTheme="minorHAnsi"/>
        </w:rPr>
        <w:fldChar w:fldCharType="end"/>
      </w:r>
      <w:r>
        <w:rPr>
          <w:rFonts w:asciiTheme="minorHAnsi" w:hAnsiTheme="minorHAnsi"/>
        </w:rPr>
        <w:t xml:space="preserve"> relating to or arising out of the provision of the Deliverables or this Contract on any of the Insurances or which, but for the application of the applicable policy excess, would be made on any of the Insurances and (if required by the Relevant Authority) full details of the incident giving rise to the claim.</w:t>
      </w:r>
      <w:proofErr w:type="gramEnd"/>
    </w:p>
    <w:p w:rsidR="00164076" w:rsidRDefault="000509D3">
      <w:pPr>
        <w:pStyle w:val="GPSL2Numbered"/>
        <w:ind w:left="900" w:hanging="540"/>
        <w:rPr>
          <w:rFonts w:asciiTheme="minorHAnsi" w:hAnsiTheme="minorHAnsi"/>
        </w:rPr>
      </w:pPr>
      <w:r>
        <w:rPr>
          <w:rFonts w:asciiTheme="minorHAnsi" w:hAnsiTheme="minorHAnsi"/>
        </w:rPr>
        <w:t>Where any Insurance requires payment of a premium, the Supplier shall be liable for and shall promptly pay such premium.</w:t>
      </w:r>
    </w:p>
    <w:p w:rsidR="00164076" w:rsidRDefault="000509D3">
      <w:pPr>
        <w:pStyle w:val="GPSL2Numbered"/>
        <w:adjustRightInd/>
        <w:spacing w:after="200" w:line="276" w:lineRule="auto"/>
        <w:ind w:left="900" w:hanging="540"/>
        <w:rPr>
          <w:rFonts w:asciiTheme="minorHAnsi" w:hAnsiTheme="minorHAnsi"/>
        </w:rPr>
      </w:pPr>
      <w:r>
        <w:rPr>
          <w:rFonts w:asciiTheme="minorHAnsi" w:hAnsiTheme="minorHAnsi"/>
        </w:rPr>
        <w:t xml:space="preserve">Where any Insurance is subject to an excess or deductible below which the indemnity from insurers is excluded, the Supplier shall be liable for such excess or deductible.  The Supplier </w:t>
      </w:r>
      <w:r>
        <w:rPr>
          <w:rFonts w:asciiTheme="minorHAnsi" w:hAnsiTheme="minorHAnsi"/>
        </w:rPr>
        <w:lastRenderedPageBreak/>
        <w:t>shall not be entitled to recover from the Relevant Authority any sum paid by way of excess or deductible under the Insurances whether under the terms of this Contract or otherwise.</w:t>
      </w:r>
      <w:r>
        <w:rPr>
          <w:rFonts w:asciiTheme="minorHAnsi" w:hAnsiTheme="minorHAnsi"/>
        </w:rPr>
        <w:br w:type="page"/>
      </w:r>
    </w:p>
    <w:p w:rsidR="00164076" w:rsidRDefault="000509D3">
      <w:pPr>
        <w:pStyle w:val="GPSL2Numbered"/>
        <w:numPr>
          <w:ilvl w:val="0"/>
          <w:numId w:val="0"/>
        </w:numPr>
        <w:ind w:left="648"/>
        <w:jc w:val="center"/>
        <w:rPr>
          <w:rFonts w:asciiTheme="minorHAnsi" w:hAnsiTheme="minorHAnsi"/>
          <w:b/>
        </w:rPr>
      </w:pPr>
      <w:r>
        <w:rPr>
          <w:rFonts w:asciiTheme="minorHAnsi" w:hAnsiTheme="minorHAnsi"/>
          <w:b/>
        </w:rPr>
        <w:lastRenderedPageBreak/>
        <w:t>ANNEX: REQUIRED INSURANCES</w:t>
      </w:r>
    </w:p>
    <w:p w:rsidR="00164076" w:rsidRDefault="000509D3" w:rsidP="00033E05">
      <w:pPr>
        <w:pStyle w:val="GPSL1CLAUSEHEADING"/>
        <w:keepNext/>
        <w:numPr>
          <w:ilvl w:val="0"/>
          <w:numId w:val="23"/>
        </w:numPr>
        <w:tabs>
          <w:tab w:val="clear" w:pos="142"/>
        </w:tabs>
        <w:ind w:left="360"/>
        <w:rPr>
          <w:rFonts w:asciiTheme="minorHAnsi" w:hAnsiTheme="minorHAnsi"/>
          <w:b w:val="0"/>
        </w:rPr>
      </w:pPr>
      <w:bookmarkStart w:id="7" w:name="LASTCURSORPOSITION"/>
      <w:bookmarkEnd w:id="7"/>
      <w:r>
        <w:rPr>
          <w:b w:val="0"/>
          <w:caps w:val="0"/>
        </w:rPr>
        <w:t>The following insurances should be held in relating to the specific lots. Where a supplier provides Deliverables in more than one lot the Supplier must ensure that it provides the highest level of Required Insurances.</w:t>
      </w:r>
    </w:p>
    <w:tbl>
      <w:tblPr>
        <w:tblStyle w:val="TableGrid"/>
        <w:tblW w:w="0" w:type="auto"/>
        <w:tblInd w:w="557" w:type="dxa"/>
        <w:tblLayout w:type="fixed"/>
        <w:tblLook w:val="04A0" w:firstRow="1" w:lastRow="0" w:firstColumn="1" w:lastColumn="0" w:noHBand="0" w:noVBand="1"/>
      </w:tblPr>
      <w:tblGrid>
        <w:gridCol w:w="1057"/>
        <w:gridCol w:w="7044"/>
      </w:tblGrid>
      <w:tr w:rsidR="00164076">
        <w:tc>
          <w:tcPr>
            <w:tcW w:w="1057" w:type="dxa"/>
          </w:tcPr>
          <w:p w:rsidR="00164076" w:rsidRDefault="000509D3">
            <w:pPr>
              <w:pStyle w:val="11table"/>
              <w:numPr>
                <w:ilvl w:val="0"/>
                <w:numId w:val="0"/>
              </w:numPr>
              <w:rPr>
                <w:b w:val="0"/>
              </w:rPr>
            </w:pPr>
            <w:r>
              <w:rPr>
                <w:b w:val="0"/>
              </w:rPr>
              <w:t>Lots</w:t>
            </w:r>
          </w:p>
        </w:tc>
        <w:tc>
          <w:tcPr>
            <w:tcW w:w="7044" w:type="dxa"/>
          </w:tcPr>
          <w:p w:rsidR="00164076" w:rsidRDefault="000509D3">
            <w:pPr>
              <w:pStyle w:val="11table"/>
              <w:numPr>
                <w:ilvl w:val="0"/>
                <w:numId w:val="0"/>
              </w:numPr>
              <w:rPr>
                <w:b w:val="0"/>
              </w:rPr>
            </w:pPr>
            <w:r>
              <w:rPr>
                <w:b w:val="0"/>
              </w:rPr>
              <w:t>Insurance requirements</w:t>
            </w:r>
          </w:p>
        </w:tc>
      </w:tr>
      <w:tr w:rsidR="00164076">
        <w:tc>
          <w:tcPr>
            <w:tcW w:w="1057" w:type="dxa"/>
          </w:tcPr>
          <w:p w:rsidR="00164076" w:rsidRDefault="000509D3">
            <w:pPr>
              <w:pStyle w:val="11table"/>
              <w:numPr>
                <w:ilvl w:val="0"/>
                <w:numId w:val="0"/>
              </w:numPr>
              <w:rPr>
                <w:b w:val="0"/>
              </w:rPr>
            </w:pPr>
            <w:r>
              <w:rPr>
                <w:b w:val="0"/>
              </w:rPr>
              <w:t>1A</w:t>
            </w:r>
          </w:p>
          <w:p w:rsidR="00164076" w:rsidRDefault="00164076">
            <w:pPr>
              <w:pStyle w:val="11table"/>
              <w:numPr>
                <w:ilvl w:val="0"/>
                <w:numId w:val="0"/>
              </w:numPr>
              <w:rPr>
                <w:b w:val="0"/>
              </w:rPr>
            </w:pPr>
          </w:p>
        </w:tc>
        <w:tc>
          <w:tcPr>
            <w:tcW w:w="7044" w:type="dxa"/>
          </w:tcPr>
          <w:p w:rsidR="00164076" w:rsidRDefault="000509D3">
            <w:pPr>
              <w:pStyle w:val="11table"/>
              <w:numPr>
                <w:ilvl w:val="0"/>
                <w:numId w:val="0"/>
              </w:numPr>
              <w:rPr>
                <w:b w:val="0"/>
              </w:rPr>
            </w:pPr>
            <w:r>
              <w:rPr>
                <w:b w:val="0"/>
              </w:rPr>
              <w:t>Professional Indemnity insurance [with cover (for a single event or a series of related events and in the aggregate)] of not less than five million pounds (£5,000,000);</w:t>
            </w:r>
          </w:p>
          <w:p w:rsidR="00164076" w:rsidRDefault="00164076">
            <w:pPr>
              <w:pStyle w:val="11table"/>
              <w:numPr>
                <w:ilvl w:val="0"/>
                <w:numId w:val="0"/>
              </w:numPr>
              <w:rPr>
                <w:b w:val="0"/>
              </w:rPr>
            </w:pPr>
          </w:p>
          <w:p w:rsidR="00164076" w:rsidRDefault="000509D3">
            <w:pPr>
              <w:pStyle w:val="11table"/>
              <w:numPr>
                <w:ilvl w:val="0"/>
                <w:numId w:val="0"/>
              </w:numPr>
              <w:rPr>
                <w:b w:val="0"/>
              </w:rPr>
            </w:pPr>
            <w:r>
              <w:rPr>
                <w:b w:val="0"/>
              </w:rPr>
              <w:t>Public liability insurance [with cover (for a single event or a series of related events and in the aggregate)] of not less than five million pounds (£5,000,000); and</w:t>
            </w:r>
          </w:p>
          <w:p w:rsidR="00164076" w:rsidRDefault="00164076">
            <w:pPr>
              <w:pStyle w:val="11table"/>
              <w:numPr>
                <w:ilvl w:val="0"/>
                <w:numId w:val="0"/>
              </w:numPr>
              <w:rPr>
                <w:b w:val="0"/>
              </w:rPr>
            </w:pPr>
          </w:p>
          <w:p w:rsidR="00164076" w:rsidRDefault="000509D3">
            <w:pPr>
              <w:pStyle w:val="11table"/>
              <w:numPr>
                <w:ilvl w:val="0"/>
                <w:numId w:val="0"/>
              </w:numPr>
              <w:rPr>
                <w:b w:val="0"/>
              </w:rPr>
            </w:pPr>
            <w:r>
              <w:rPr>
                <w:b w:val="0"/>
              </w:rPr>
              <w:t xml:space="preserve">Employers’ liability insurance [with cover (for a single event or a series of related events and in the aggregate) of not less </w:t>
            </w:r>
            <w:r w:rsidR="009B11F1">
              <w:rPr>
                <w:b w:val="0"/>
              </w:rPr>
              <w:t>than] five</w:t>
            </w:r>
            <w:r>
              <w:rPr>
                <w:b w:val="0"/>
              </w:rPr>
              <w:t xml:space="preserve"> million pounds (£5,000,000). It is a legal requirement that all companies hold Employer’s (Compulsory) Liability Insurance. Please note this requirement is not applicable to Sole Traders.</w:t>
            </w:r>
          </w:p>
        </w:tc>
      </w:tr>
      <w:tr w:rsidR="00164076">
        <w:tc>
          <w:tcPr>
            <w:tcW w:w="1057" w:type="dxa"/>
          </w:tcPr>
          <w:p w:rsidR="00164076" w:rsidRDefault="000509D3">
            <w:pPr>
              <w:pStyle w:val="11table"/>
              <w:numPr>
                <w:ilvl w:val="0"/>
                <w:numId w:val="0"/>
              </w:numPr>
              <w:rPr>
                <w:b w:val="0"/>
              </w:rPr>
            </w:pPr>
            <w:r>
              <w:rPr>
                <w:b w:val="0"/>
              </w:rPr>
              <w:t>1B</w:t>
            </w:r>
          </w:p>
          <w:p w:rsidR="00164076" w:rsidRDefault="00164076">
            <w:pPr>
              <w:pStyle w:val="11table"/>
              <w:numPr>
                <w:ilvl w:val="0"/>
                <w:numId w:val="0"/>
              </w:numPr>
              <w:rPr>
                <w:b w:val="0"/>
              </w:rPr>
            </w:pPr>
          </w:p>
        </w:tc>
        <w:tc>
          <w:tcPr>
            <w:tcW w:w="7044" w:type="dxa"/>
          </w:tcPr>
          <w:p w:rsidR="00164076" w:rsidRDefault="000509D3">
            <w:pPr>
              <w:pStyle w:val="11table"/>
              <w:numPr>
                <w:ilvl w:val="0"/>
                <w:numId w:val="0"/>
              </w:numPr>
              <w:rPr>
                <w:b w:val="0"/>
              </w:rPr>
            </w:pPr>
            <w:r>
              <w:rPr>
                <w:b w:val="0"/>
              </w:rPr>
              <w:t>Professional Indemnity insurance [with cover (for a single event or a series of related events and in the aggregate)] of not less than ten million pounds (£10,000,000);</w:t>
            </w:r>
          </w:p>
          <w:p w:rsidR="00164076" w:rsidRDefault="00164076">
            <w:pPr>
              <w:pStyle w:val="11table"/>
              <w:numPr>
                <w:ilvl w:val="0"/>
                <w:numId w:val="0"/>
              </w:numPr>
              <w:rPr>
                <w:b w:val="0"/>
              </w:rPr>
            </w:pPr>
          </w:p>
          <w:p w:rsidR="00164076" w:rsidRDefault="000509D3">
            <w:pPr>
              <w:pStyle w:val="11table"/>
              <w:numPr>
                <w:ilvl w:val="0"/>
                <w:numId w:val="0"/>
              </w:numPr>
              <w:rPr>
                <w:b w:val="0"/>
              </w:rPr>
            </w:pPr>
            <w:r>
              <w:rPr>
                <w:b w:val="0"/>
              </w:rPr>
              <w:t>Public liability insurance [with cover (for a single event or a series of related events and in the aggregate)] of not less than ten million pounds (£10,000,000); and</w:t>
            </w:r>
          </w:p>
          <w:p w:rsidR="00164076" w:rsidRDefault="00164076">
            <w:pPr>
              <w:pStyle w:val="11table"/>
              <w:numPr>
                <w:ilvl w:val="0"/>
                <w:numId w:val="0"/>
              </w:numPr>
              <w:rPr>
                <w:b w:val="0"/>
              </w:rPr>
            </w:pPr>
          </w:p>
          <w:p w:rsidR="00164076" w:rsidRDefault="000509D3">
            <w:pPr>
              <w:pStyle w:val="11table"/>
              <w:numPr>
                <w:ilvl w:val="0"/>
                <w:numId w:val="0"/>
              </w:numPr>
              <w:rPr>
                <w:b w:val="0"/>
              </w:rPr>
            </w:pPr>
            <w:r>
              <w:rPr>
                <w:b w:val="0"/>
              </w:rPr>
              <w:t xml:space="preserve">Employers’ liability insurance [with cover (for a single event or a series of related events and in the aggregate)] of not less </w:t>
            </w:r>
            <w:r w:rsidRPr="00995E72">
              <w:rPr>
                <w:b w:val="0"/>
              </w:rPr>
              <w:t>than five million pounds (£5,000,000). It</w:t>
            </w:r>
            <w:r>
              <w:rPr>
                <w:b w:val="0"/>
              </w:rPr>
              <w:t xml:space="preserve"> is a legal requirement that all companies hold Employer’s (Compulsory) Liability Insurance. Please note this requirement is not applicable to Sole Traders.</w:t>
            </w:r>
          </w:p>
        </w:tc>
      </w:tr>
      <w:tr w:rsidR="00164076">
        <w:tc>
          <w:tcPr>
            <w:tcW w:w="1057" w:type="dxa"/>
            <w:tcBorders>
              <w:bottom w:val="single" w:sz="4" w:space="0" w:color="auto"/>
            </w:tcBorders>
          </w:tcPr>
          <w:p w:rsidR="00164076" w:rsidRDefault="000509D3">
            <w:pPr>
              <w:pStyle w:val="11table"/>
              <w:numPr>
                <w:ilvl w:val="0"/>
                <w:numId w:val="0"/>
              </w:numPr>
              <w:rPr>
                <w:b w:val="0"/>
              </w:rPr>
            </w:pPr>
            <w:r>
              <w:rPr>
                <w:b w:val="0"/>
              </w:rPr>
              <w:t>1C</w:t>
            </w:r>
          </w:p>
          <w:p w:rsidR="00164076" w:rsidRDefault="00164076">
            <w:pPr>
              <w:pStyle w:val="11table"/>
              <w:numPr>
                <w:ilvl w:val="0"/>
                <w:numId w:val="0"/>
              </w:numPr>
              <w:rPr>
                <w:b w:val="0"/>
              </w:rPr>
            </w:pPr>
          </w:p>
        </w:tc>
        <w:tc>
          <w:tcPr>
            <w:tcW w:w="7044" w:type="dxa"/>
            <w:tcBorders>
              <w:bottom w:val="single" w:sz="4" w:space="0" w:color="auto"/>
            </w:tcBorders>
          </w:tcPr>
          <w:p w:rsidR="00164076" w:rsidRDefault="000509D3">
            <w:pPr>
              <w:pStyle w:val="11table"/>
              <w:numPr>
                <w:ilvl w:val="0"/>
                <w:numId w:val="0"/>
              </w:numPr>
              <w:rPr>
                <w:b w:val="0"/>
              </w:rPr>
            </w:pPr>
            <w:r>
              <w:rPr>
                <w:b w:val="0"/>
              </w:rPr>
              <w:t>Professional Indemnity insurance [with cover (for a single event or a series of related events and in the aggregate)] of not less than ten million pounds (£10,000,000);</w:t>
            </w:r>
          </w:p>
          <w:p w:rsidR="00164076" w:rsidRDefault="00164076">
            <w:pPr>
              <w:pStyle w:val="11table"/>
              <w:numPr>
                <w:ilvl w:val="0"/>
                <w:numId w:val="0"/>
              </w:numPr>
              <w:rPr>
                <w:b w:val="0"/>
              </w:rPr>
            </w:pPr>
          </w:p>
          <w:p w:rsidR="00164076" w:rsidRDefault="000509D3">
            <w:pPr>
              <w:pStyle w:val="11table"/>
              <w:numPr>
                <w:ilvl w:val="0"/>
                <w:numId w:val="0"/>
              </w:numPr>
              <w:rPr>
                <w:b w:val="0"/>
              </w:rPr>
            </w:pPr>
            <w:r>
              <w:rPr>
                <w:b w:val="0"/>
              </w:rPr>
              <w:t>Public liability insurance [with cover (for a single event or a series of related events and in the aggregate)] of not less than ten million pounds (£10,000,000); and</w:t>
            </w:r>
          </w:p>
          <w:p w:rsidR="00164076" w:rsidRDefault="00164076">
            <w:pPr>
              <w:pStyle w:val="11table"/>
              <w:numPr>
                <w:ilvl w:val="0"/>
                <w:numId w:val="0"/>
              </w:numPr>
              <w:rPr>
                <w:b w:val="0"/>
              </w:rPr>
            </w:pPr>
          </w:p>
          <w:p w:rsidR="00164076" w:rsidRDefault="000509D3">
            <w:pPr>
              <w:pStyle w:val="11table"/>
              <w:numPr>
                <w:ilvl w:val="0"/>
                <w:numId w:val="0"/>
              </w:numPr>
              <w:rPr>
                <w:b w:val="0"/>
              </w:rPr>
            </w:pPr>
            <w:r>
              <w:rPr>
                <w:b w:val="0"/>
              </w:rPr>
              <w:t xml:space="preserve">Employers’ liability insurance [with cover (for a single event or a series of related events and in the aggregate)] of not less </w:t>
            </w:r>
            <w:r w:rsidR="009B11F1">
              <w:rPr>
                <w:b w:val="0"/>
              </w:rPr>
              <w:t>than ten</w:t>
            </w:r>
            <w:r>
              <w:rPr>
                <w:b w:val="0"/>
              </w:rPr>
              <w:t xml:space="preserve"> million pounds (£10,000,000). It is a legal requirement that all companies hold Employer’s (Compulsory) Liability Insurance. Please note this requirement is not applicable to Sole Traders.</w:t>
            </w:r>
          </w:p>
        </w:tc>
      </w:tr>
    </w:tbl>
    <w:p w:rsidR="00164076" w:rsidRDefault="00164076">
      <w:pPr>
        <w:pStyle w:val="GPSL1CLAUSEHEADING"/>
        <w:numPr>
          <w:ilvl w:val="0"/>
          <w:numId w:val="0"/>
        </w:numPr>
        <w:ind w:left="540"/>
        <w:rPr>
          <w:b w:val="0"/>
        </w:rPr>
      </w:pPr>
    </w:p>
    <w:sectPr w:rsidR="0016407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478" w:rsidRDefault="00975478">
      <w:pPr>
        <w:spacing w:after="0"/>
      </w:pPr>
      <w:r>
        <w:separator/>
      </w:r>
    </w:p>
  </w:endnote>
  <w:endnote w:type="continuationSeparator" w:id="0">
    <w:p w:rsidR="00975478" w:rsidRDefault="009754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Zhongsong">
    <w:altName w:val="Arial Unicode MS"/>
    <w:charset w:val="00"/>
    <w:family w:val="auto"/>
    <w:pitch w:val="default"/>
    <w:sig w:usb0="00000001" w:usb1="080E0000" w:usb2="00000010" w:usb3="00000000" w:csb0="0004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076" w:rsidRDefault="00164076">
    <w:pPr>
      <w:tabs>
        <w:tab w:val="center" w:pos="4513"/>
        <w:tab w:val="right" w:pos="9026"/>
      </w:tabs>
      <w:spacing w:after="0"/>
    </w:pPr>
  </w:p>
  <w:p w:rsidR="00164076" w:rsidRDefault="000509D3">
    <w:pPr>
      <w:tabs>
        <w:tab w:val="center" w:pos="4513"/>
        <w:tab w:val="right" w:pos="9026"/>
      </w:tabs>
      <w:spacing w:after="0"/>
    </w:pPr>
    <w:r>
      <w:t>Ref: RM3830</w:t>
    </w:r>
  </w:p>
  <w:p w:rsidR="00164076" w:rsidRDefault="000509D3">
    <w:pPr>
      <w:spacing w:after="0"/>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478" w:rsidRDefault="00975478">
      <w:pPr>
        <w:spacing w:after="0"/>
      </w:pPr>
      <w:r>
        <w:separator/>
      </w:r>
    </w:p>
  </w:footnote>
  <w:footnote w:type="continuationSeparator" w:id="0">
    <w:p w:rsidR="00975478" w:rsidRDefault="009754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076" w:rsidRDefault="000509D3">
    <w:pPr>
      <w:pStyle w:val="Header"/>
      <w:rPr>
        <w:b/>
      </w:rPr>
    </w:pPr>
    <w:r>
      <w:rPr>
        <w:b/>
      </w:rPr>
      <w:t>Joint Schedule 3 (Insurance Requirements)</w:t>
    </w:r>
    <w:r w:rsidR="001B65E9">
      <w:rPr>
        <w:b/>
      </w:rPr>
      <w:t xml:space="preserve"> Direct Award </w:t>
    </w:r>
    <w:r w:rsidR="00B807B4">
      <w:rPr>
        <w:b/>
      </w:rPr>
      <w:t>v1</w:t>
    </w:r>
    <w:r w:rsidR="002A3EA4">
      <w:rPr>
        <w:b/>
      </w:rPr>
      <w:t>.0</w:t>
    </w:r>
  </w:p>
  <w:p w:rsidR="00164076" w:rsidRDefault="000509D3">
    <w:pPr>
      <w:pStyle w:val="Header"/>
    </w:pPr>
    <w:r>
      <w:rPr>
        <w:rStyle w:val="Emphasis"/>
        <w:noProof/>
        <w:lang w:eastAsia="en-GB"/>
      </w:rPr>
      <w:drawing>
        <wp:anchor distT="0" distB="0" distL="114300" distR="114300" simplePos="0" relativeHeight="251659264" behindDoc="0" locked="0" layoutInCell="1" allowOverlap="1">
          <wp:simplePos x="0" y="0"/>
          <wp:positionH relativeFrom="column">
            <wp:posOffset>5562510</wp:posOffset>
          </wp:positionH>
          <wp:positionV relativeFrom="paragraph">
            <wp:posOffset>-166007</wp:posOffset>
          </wp:positionV>
          <wp:extent cx="849085" cy="685627"/>
          <wp:effectExtent l="0" t="0" r="8255" b="635"/>
          <wp:wrapNone/>
          <wp:docPr id="1" name="Picture 1"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t>Crown Copyright 201</w:t>
    </w:r>
    <w:r w:rsidR="00995E72">
      <w:t>8</w:t>
    </w:r>
  </w:p>
  <w:p w:rsidR="00164076" w:rsidRDefault="00164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56A38"/>
    <w:multiLevelType w:val="hybridMultilevel"/>
    <w:tmpl w:val="4AE0E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8F03A7"/>
    <w:multiLevelType w:val="hybridMultilevel"/>
    <w:tmpl w:val="BB8ED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537E2C"/>
    <w:multiLevelType w:val="multilevel"/>
    <w:tmpl w:val="6EC851EC"/>
    <w:styleLink w:val="LFO9"/>
    <w:lvl w:ilvl="0">
      <w:start w:val="1"/>
      <w:numFmt w:val="decimal"/>
      <w:pStyle w:val="11table"/>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772936E4"/>
    <w:multiLevelType w:val="multilevel"/>
    <w:tmpl w:val="9E48C0F8"/>
    <w:lvl w:ilvl="0">
      <w:start w:val="1"/>
      <w:numFmt w:val="decimal"/>
      <w:pStyle w:val="GPSL1CLAUSEHEADING"/>
      <w:lvlText w:val="%1."/>
      <w:lvlJc w:val="left"/>
      <w:pPr>
        <w:ind w:left="540" w:hanging="360"/>
      </w:pPr>
      <w:rPr>
        <w:rFonts w:ascii="Calibri" w:hAnsi="Calibri" w:cs="Arial" w:hint="default"/>
        <w:b/>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GPSL2NumberedBoldHeading"/>
      <w:isLgl/>
      <w:lvlText w:val="%1.%2"/>
      <w:lvlJc w:val="left"/>
      <w:pPr>
        <w:ind w:left="1391" w:hanging="36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GPSL3numberedclause"/>
      <w:isLgl/>
      <w:lvlText w:val="%1.%2.%3"/>
      <w:lvlJc w:val="left"/>
      <w:pPr>
        <w:ind w:left="2602"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GPSL4numberedclause"/>
      <w:lvlText w:val="(%4)"/>
      <w:lvlJc w:val="left"/>
      <w:pPr>
        <w:ind w:left="3027"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GPSL5numberedclause"/>
      <w:lvlText w:val="(%5)"/>
      <w:lvlJc w:val="left"/>
      <w:pPr>
        <w:ind w:left="162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GPSL6numbered"/>
      <w:lvlText w:val="(%6)"/>
      <w:lvlJc w:val="left"/>
      <w:pPr>
        <w:ind w:left="162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isLgl/>
      <w:lvlText w:val="%1.%2.%3.%4.%5.%6.%7"/>
      <w:lvlJc w:val="left"/>
      <w:pPr>
        <w:ind w:left="1980" w:hanging="1440"/>
      </w:pPr>
      <w:rPr>
        <w:rFonts w:cs="Times New Roman" w:hint="default"/>
      </w:rPr>
    </w:lvl>
    <w:lvl w:ilvl="7">
      <w:start w:val="1"/>
      <w:numFmt w:val="decimal"/>
      <w:isLgl/>
      <w:lvlText w:val="%1.%2.%3.%4.%5.%6.%7.%8"/>
      <w:lvlJc w:val="left"/>
      <w:pPr>
        <w:ind w:left="1980" w:hanging="1440"/>
      </w:pPr>
      <w:rPr>
        <w:rFonts w:cs="Times New Roman" w:hint="default"/>
      </w:rPr>
    </w:lvl>
    <w:lvl w:ilvl="8">
      <w:start w:val="1"/>
      <w:numFmt w:val="decimal"/>
      <w:isLgl/>
      <w:lvlText w:val="%1.%2.%3.%4.%5.%6.%7.%8.%9"/>
      <w:lvlJc w:val="left"/>
      <w:pPr>
        <w:ind w:left="2340" w:hanging="1800"/>
      </w:pPr>
      <w:rPr>
        <w:rFonts w:cs="Times New Roman"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3"/>
  </w:num>
  <w:num w:numId="27">
    <w:abstractNumId w:val="3"/>
  </w:num>
  <w:num w:numId="28">
    <w:abstractNumId w:val="2"/>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76"/>
    <w:rsid w:val="00033E05"/>
    <w:rsid w:val="000509D3"/>
    <w:rsid w:val="00110152"/>
    <w:rsid w:val="00164076"/>
    <w:rsid w:val="001A35C7"/>
    <w:rsid w:val="001A722C"/>
    <w:rsid w:val="001B65E9"/>
    <w:rsid w:val="001B6AA7"/>
    <w:rsid w:val="002A3EA4"/>
    <w:rsid w:val="00390982"/>
    <w:rsid w:val="003C2224"/>
    <w:rsid w:val="005E4849"/>
    <w:rsid w:val="00626A16"/>
    <w:rsid w:val="00686368"/>
    <w:rsid w:val="00765C05"/>
    <w:rsid w:val="00790E93"/>
    <w:rsid w:val="00975478"/>
    <w:rsid w:val="00995E72"/>
    <w:rsid w:val="009B11F1"/>
    <w:rsid w:val="00A678DB"/>
    <w:rsid w:val="00B807B4"/>
    <w:rsid w:val="00C11DC4"/>
    <w:rsid w:val="00EE5EAA"/>
    <w:rsid w:val="00F00547"/>
    <w:rsid w:val="00F85C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5E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240" w:line="240" w:lineRule="auto"/>
      <w:jc w:val="both"/>
      <w:textAlignment w:val="baseline"/>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style>
  <w:style w:type="character" w:styleId="Emphasis">
    <w:name w:val="Emphasis"/>
    <w:basedOn w:val="DefaultParagraphFont"/>
    <w:rPr>
      <w:i/>
      <w:iCs/>
    </w:rPr>
  </w:style>
  <w:style w:type="paragraph" w:customStyle="1" w:styleId="GPSL1CLAUSEHEADING">
    <w:name w:val="GPS L1 CLAUSE HEADING"/>
    <w:basedOn w:val="Normal"/>
    <w:next w:val="Normal"/>
    <w:qFormat/>
    <w:pPr>
      <w:numPr>
        <w:numId w:val="1"/>
      </w:numPr>
      <w:tabs>
        <w:tab w:val="left" w:pos="142"/>
      </w:tabs>
      <w:overflowPunct/>
      <w:autoSpaceDE/>
      <w:autoSpaceDN/>
      <w:spacing w:before="120"/>
      <w:textAlignment w:val="auto"/>
      <w:outlineLvl w:val="1"/>
    </w:pPr>
    <w:rPr>
      <w:rFonts w:eastAsia="STZhongsong"/>
      <w:b/>
      <w:caps/>
      <w:lang w:eastAsia="zh-CN"/>
    </w:rPr>
  </w:style>
  <w:style w:type="paragraph" w:customStyle="1" w:styleId="GPSL3numberedclause">
    <w:name w:val="GPS L3 numbered clause"/>
    <w:basedOn w:val="Normal"/>
    <w:link w:val="GPSL3numberedclauseChar"/>
    <w:qFormat/>
    <w:pPr>
      <w:numPr>
        <w:ilvl w:val="2"/>
        <w:numId w:val="1"/>
      </w:numPr>
      <w:overflowPunct/>
      <w:autoSpaceDE/>
      <w:autoSpaceDN/>
      <w:spacing w:before="120" w:after="120"/>
      <w:ind w:left="1656"/>
      <w:textAlignment w:val="auto"/>
    </w:pPr>
    <w:rPr>
      <w:lang w:eastAsia="zh-CN"/>
    </w:rPr>
  </w:style>
  <w:style w:type="paragraph" w:customStyle="1" w:styleId="GPSL4numberedclause">
    <w:name w:val="GPS L4 numbered clause"/>
    <w:basedOn w:val="GPSL3numberedclause"/>
    <w:link w:val="GPSL4numberedclauseChar"/>
    <w:qFormat/>
    <w:pPr>
      <w:numPr>
        <w:ilvl w:val="3"/>
      </w:numPr>
      <w:tabs>
        <w:tab w:val="left" w:pos="2552"/>
      </w:tabs>
    </w:pPr>
  </w:style>
  <w:style w:type="character" w:customStyle="1" w:styleId="GPSL4numberedclauseChar">
    <w:name w:val="GPS L4 numbered clause Char"/>
    <w:link w:val="GPSL4numberedclause"/>
    <w:locked/>
    <w:rPr>
      <w:rFonts w:ascii="Calibri" w:eastAsia="Times New Roman" w:hAnsi="Calibri" w:cs="Arial"/>
      <w:lang w:eastAsia="zh-CN"/>
    </w:rPr>
  </w:style>
  <w:style w:type="paragraph" w:customStyle="1" w:styleId="GPSL5numberedclause">
    <w:name w:val="GPS L5 numbered clause"/>
    <w:basedOn w:val="GPSL4numberedclause"/>
    <w:qFormat/>
    <w:pPr>
      <w:numPr>
        <w:ilvl w:val="4"/>
      </w:numPr>
      <w:tabs>
        <w:tab w:val="num" w:pos="360"/>
        <w:tab w:val="left" w:pos="3119"/>
      </w:tabs>
      <w:ind w:left="3119" w:hanging="567"/>
    </w:pPr>
  </w:style>
  <w:style w:type="paragraph" w:customStyle="1" w:styleId="GPSL2NumberedBoldHeading">
    <w:name w:val="GPS L2 Numbered Bold Heading"/>
    <w:basedOn w:val="Normal"/>
    <w:qFormat/>
    <w:pPr>
      <w:numPr>
        <w:ilvl w:val="1"/>
        <w:numId w:val="1"/>
      </w:numPr>
      <w:tabs>
        <w:tab w:val="left" w:pos="1134"/>
      </w:tabs>
      <w:overflowPunct/>
      <w:autoSpaceDE/>
      <w:autoSpaceDN/>
      <w:spacing w:before="120" w:after="120"/>
      <w:textAlignment w:val="auto"/>
    </w:pPr>
    <w:rPr>
      <w:b/>
      <w:lang w:eastAsia="zh-CN"/>
    </w:rPr>
  </w:style>
  <w:style w:type="paragraph" w:customStyle="1" w:styleId="GPSL6numbered">
    <w:name w:val="GPS L6 numbered"/>
    <w:basedOn w:val="GPSL5numberedclause"/>
    <w:qFormat/>
    <w:pPr>
      <w:numPr>
        <w:ilvl w:val="5"/>
      </w:numPr>
      <w:tabs>
        <w:tab w:val="num" w:pos="360"/>
        <w:tab w:val="left" w:pos="3686"/>
      </w:tabs>
      <w:ind w:left="3686" w:hanging="567"/>
    </w:pPr>
  </w:style>
  <w:style w:type="character" w:customStyle="1" w:styleId="GPSL3numberedclauseChar">
    <w:name w:val="GPS L3 numbered clause Char"/>
    <w:link w:val="GPSL3numberedclause"/>
    <w:locked/>
    <w:rPr>
      <w:rFonts w:ascii="Calibri" w:eastAsia="Times New Roman" w:hAnsi="Calibri" w:cs="Arial"/>
      <w:lang w:eastAsia="zh-CN"/>
    </w:rPr>
  </w:style>
  <w:style w:type="paragraph" w:customStyle="1" w:styleId="GPSL1SCHEDULEHeading">
    <w:name w:val="GPS L1 SCHEDULE Heading"/>
    <w:basedOn w:val="GPSL1CLAUSEHEADING"/>
    <w:link w:val="GPSL1SCHEDULEHeadingChar"/>
    <w:qFormat/>
    <w:pPr>
      <w:tabs>
        <w:tab w:val="clear" w:pos="142"/>
      </w:tabs>
      <w:ind w:left="360"/>
      <w:outlineLvl w:val="9"/>
    </w:pPr>
  </w:style>
  <w:style w:type="paragraph" w:customStyle="1" w:styleId="GPSmacrorestart">
    <w:name w:val="GPS macro restart"/>
    <w:basedOn w:val="Normal"/>
    <w:qFormat/>
    <w:pPr>
      <w:spacing w:after="0"/>
    </w:pPr>
    <w:rPr>
      <w:color w:val="FFFFFF"/>
      <w:sz w:val="16"/>
      <w:szCs w:val="16"/>
    </w:rPr>
  </w:style>
  <w:style w:type="paragraph" w:customStyle="1" w:styleId="GPSSchTitleandNumber">
    <w:name w:val="GPS Sch Title and Number"/>
    <w:basedOn w:val="Normal"/>
    <w:link w:val="GPSSchTitleandNumberChar"/>
    <w:qFormat/>
    <w:pPr>
      <w:keepNext/>
      <w:overflowPunct/>
      <w:autoSpaceDE/>
      <w:autoSpaceDN/>
      <w:ind w:firstLine="426"/>
      <w:jc w:val="center"/>
      <w:textAlignment w:val="auto"/>
      <w:outlineLvl w:val="0"/>
    </w:pPr>
    <w:rPr>
      <w:rFonts w:ascii="Arial Bold" w:eastAsia="STZhongsong" w:hAnsi="Arial Bold" w:cs="Times New Roman"/>
      <w:b/>
      <w:caps/>
      <w:lang w:eastAsia="zh-CN"/>
    </w:rPr>
  </w:style>
  <w:style w:type="paragraph" w:customStyle="1" w:styleId="GPSL2Numbered">
    <w:name w:val="GPS L2 Numbered"/>
    <w:basedOn w:val="GPSL2NumberedBoldHeading"/>
    <w:link w:val="GPSL2NumberedChar"/>
    <w:qFormat/>
    <w:pPr>
      <w:tabs>
        <w:tab w:val="clear" w:pos="1134"/>
      </w:tabs>
      <w:ind w:left="936" w:hanging="576"/>
    </w:pPr>
    <w:rPr>
      <w:b w:val="0"/>
    </w:rPr>
  </w:style>
  <w:style w:type="character" w:customStyle="1" w:styleId="GPSL2NumberedChar">
    <w:name w:val="GPS L2 Numbered Char"/>
    <w:link w:val="GPSL2Numbered"/>
    <w:locked/>
    <w:rPr>
      <w:rFonts w:ascii="Calibri" w:eastAsia="Times New Roman" w:hAnsi="Calibri" w:cs="Arial"/>
      <w:lang w:eastAsia="zh-CN"/>
    </w:rPr>
  </w:style>
  <w:style w:type="character" w:customStyle="1" w:styleId="GPSL1SCHEDULEHeadingChar">
    <w:name w:val="GPS L1 SCHEDULE Heading Char"/>
    <w:link w:val="GPSL1SCHEDULEHeading"/>
    <w:locked/>
    <w:rPr>
      <w:rFonts w:ascii="Calibri" w:eastAsia="STZhongsong" w:hAnsi="Calibri" w:cs="Arial"/>
      <w:b/>
      <w:caps/>
      <w:lang w:eastAsia="zh-CN"/>
    </w:rPr>
  </w:style>
  <w:style w:type="character" w:customStyle="1" w:styleId="GPSSchTitleandNumberChar">
    <w:name w:val="GPS Sch Title and Number Char"/>
    <w:link w:val="GPSSchTitleandNumber"/>
    <w:locked/>
    <w:rPr>
      <w:rFonts w:ascii="Arial Bold" w:eastAsia="STZhongsong" w:hAnsi="Arial Bold" w:cs="Times New Roman"/>
      <w:b/>
      <w:caps/>
      <w:lang w:eastAsia="zh-CN"/>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table" w:styleId="TableGrid">
    <w:name w:val="Table Grid"/>
    <w:basedOn w:val="TableNormal"/>
    <w:uiPriority w:val="59"/>
    <w:pPr>
      <w:spacing w:after="0" w:line="240" w:lineRule="auto"/>
    </w:pPr>
    <w:rPr>
      <w:rFonts w:ascii="Calibri" w:eastAsia="Calibri" w:hAnsi="Calibri"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Times New Roman" w:hAnsi="Calibri" w:cs="Arial"/>
      <w:b/>
      <w:bCs/>
      <w:sz w:val="20"/>
      <w:szCs w:val="20"/>
    </w:rPr>
  </w:style>
  <w:style w:type="paragraph" w:customStyle="1" w:styleId="11table">
    <w:name w:val="1.1 table"/>
    <w:basedOn w:val="Normal"/>
    <w:qFormat/>
    <w:pPr>
      <w:numPr>
        <w:numId w:val="28"/>
      </w:numPr>
      <w:overflowPunct/>
      <w:autoSpaceDE/>
      <w:adjustRightInd/>
      <w:spacing w:after="0"/>
      <w:jc w:val="left"/>
      <w:textAlignment w:val="auto"/>
    </w:pPr>
    <w:rPr>
      <w:rFonts w:eastAsia="STZhongsong" w:cs="Times New Roman"/>
      <w:b/>
      <w:lang w:eastAsia="zh-CN"/>
    </w:rPr>
  </w:style>
  <w:style w:type="numbering" w:customStyle="1" w:styleId="LFO9">
    <w:name w:val="LFO9"/>
    <w:basedOn w:val="NoList"/>
    <w:pPr>
      <w:numPr>
        <w:numId w:val="28"/>
      </w:numPr>
    </w:pPr>
  </w:style>
  <w:style w:type="paragraph" w:styleId="Revision">
    <w:name w:val="Revision"/>
    <w:hidden/>
    <w:uiPriority w:val="99"/>
    <w:semiHidden/>
    <w:pPr>
      <w:spacing w:after="0" w:line="240" w:lineRule="auto"/>
    </w:pPr>
    <w:rPr>
      <w:rFonts w:ascii="Calibri" w:eastAsia="Times New Rom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233726">
      <w:bodyDiv w:val="1"/>
      <w:marLeft w:val="0"/>
      <w:marRight w:val="0"/>
      <w:marTop w:val="0"/>
      <w:marBottom w:val="0"/>
      <w:divBdr>
        <w:top w:val="none" w:sz="0" w:space="0" w:color="auto"/>
        <w:left w:val="none" w:sz="0" w:space="0" w:color="auto"/>
        <w:bottom w:val="none" w:sz="0" w:space="0" w:color="auto"/>
        <w:right w:val="none" w:sz="0" w:space="0" w:color="auto"/>
      </w:divBdr>
    </w:div>
    <w:div w:id="306590662">
      <w:bodyDiv w:val="1"/>
      <w:marLeft w:val="0"/>
      <w:marRight w:val="0"/>
      <w:marTop w:val="0"/>
      <w:marBottom w:val="0"/>
      <w:divBdr>
        <w:top w:val="none" w:sz="0" w:space="0" w:color="auto"/>
        <w:left w:val="none" w:sz="0" w:space="0" w:color="auto"/>
        <w:bottom w:val="none" w:sz="0" w:space="0" w:color="auto"/>
        <w:right w:val="none" w:sz="0" w:space="0" w:color="auto"/>
      </w:divBdr>
    </w:div>
    <w:div w:id="351424386">
      <w:bodyDiv w:val="1"/>
      <w:marLeft w:val="0"/>
      <w:marRight w:val="0"/>
      <w:marTop w:val="0"/>
      <w:marBottom w:val="0"/>
      <w:divBdr>
        <w:top w:val="none" w:sz="0" w:space="0" w:color="auto"/>
        <w:left w:val="none" w:sz="0" w:space="0" w:color="auto"/>
        <w:bottom w:val="none" w:sz="0" w:space="0" w:color="auto"/>
        <w:right w:val="none" w:sz="0" w:space="0" w:color="auto"/>
      </w:divBdr>
    </w:div>
    <w:div w:id="120182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6822C-22AB-4C0E-AE8C-3207E480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2019-10-09T09:51:00Z</dcterms:created>
  <dcterms:modified xsi:type="dcterms:W3CDTF">2019-10-09T09:51:00Z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17 November 2017 D1V5</vt:lpwstr>
  </property>
</Properties>
</file>