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D56D2" w14:textId="77777777" w:rsidR="00832AD6" w:rsidRPr="00832AD6" w:rsidRDefault="00832AD6" w:rsidP="00832AD6">
      <w:pPr>
        <w:autoSpaceDE w:val="0"/>
        <w:autoSpaceDN w:val="0"/>
        <w:adjustRightInd w:val="0"/>
        <w:spacing w:after="240" w:line="240" w:lineRule="auto"/>
        <w:jc w:val="center"/>
        <w:rPr>
          <w:rFonts w:ascii="Calibri" w:eastAsia="Times New Roman" w:hAnsi="Calibri" w:cs="Arial"/>
          <w:b/>
          <w:caps/>
          <w:szCs w:val="24"/>
          <w:lang w:eastAsia="en-GB"/>
        </w:rPr>
      </w:pPr>
    </w:p>
    <w:p w14:paraId="2558A45C" w14:textId="22FA320E" w:rsidR="00832AD6" w:rsidRPr="00832AD6" w:rsidRDefault="005A1920" w:rsidP="00832AD6">
      <w:pPr>
        <w:autoSpaceDE w:val="0"/>
        <w:autoSpaceDN w:val="0"/>
        <w:adjustRightInd w:val="0"/>
        <w:spacing w:before="240" w:after="240"/>
        <w:jc w:val="center"/>
        <w:rPr>
          <w:rFonts w:ascii="Calibri" w:eastAsia="Times New Roman" w:hAnsi="Calibri" w:cs="Arial"/>
          <w:b/>
          <w:caps/>
          <w:szCs w:val="24"/>
          <w:lang w:eastAsia="en-GB"/>
        </w:rPr>
      </w:pPr>
      <w:r>
        <w:rPr>
          <w:rFonts w:ascii="Calibri" w:eastAsia="Times New Roman" w:hAnsi="Calibri" w:cs="Arial"/>
          <w:b/>
          <w:caps/>
          <w:szCs w:val="24"/>
          <w:lang w:eastAsia="en-GB"/>
        </w:rPr>
        <w:t>BUYER</w:t>
      </w:r>
    </w:p>
    <w:p w14:paraId="54A630D1" w14:textId="77777777" w:rsidR="00832AD6" w:rsidRPr="00832AD6" w:rsidRDefault="00832AD6" w:rsidP="00832AD6">
      <w:pPr>
        <w:autoSpaceDE w:val="0"/>
        <w:autoSpaceDN w:val="0"/>
        <w:adjustRightInd w:val="0"/>
        <w:spacing w:before="240" w:after="240"/>
        <w:jc w:val="center"/>
        <w:rPr>
          <w:rFonts w:ascii="Calibri" w:eastAsia="Times New Roman" w:hAnsi="Calibri" w:cs="Arial"/>
          <w:b/>
          <w:caps/>
          <w:szCs w:val="24"/>
          <w:lang w:eastAsia="en-GB"/>
        </w:rPr>
      </w:pPr>
      <w:r w:rsidRPr="00832AD6">
        <w:rPr>
          <w:rFonts w:ascii="Calibri" w:eastAsia="Times New Roman" w:hAnsi="Calibri" w:cs="Arial"/>
          <w:b/>
          <w:caps/>
          <w:szCs w:val="24"/>
          <w:lang w:eastAsia="en-GB"/>
        </w:rPr>
        <w:t>AND</w:t>
      </w:r>
    </w:p>
    <w:p w14:paraId="06ABA223" w14:textId="77777777" w:rsidR="00832AD6" w:rsidRPr="00832AD6" w:rsidRDefault="00832AD6" w:rsidP="00832AD6">
      <w:pPr>
        <w:autoSpaceDE w:val="0"/>
        <w:autoSpaceDN w:val="0"/>
        <w:adjustRightInd w:val="0"/>
        <w:spacing w:before="240" w:after="240"/>
        <w:jc w:val="center"/>
        <w:rPr>
          <w:rFonts w:ascii="Calibri" w:eastAsia="Times New Roman" w:hAnsi="Calibri" w:cs="Arial"/>
          <w:b/>
          <w:caps/>
          <w:szCs w:val="24"/>
          <w:lang w:eastAsia="en-GB"/>
        </w:rPr>
      </w:pPr>
      <w:r w:rsidRPr="00832AD6">
        <w:rPr>
          <w:rFonts w:ascii="Calibri" w:eastAsia="Times New Roman" w:hAnsi="Calibri" w:cs="Arial"/>
          <w:b/>
          <w:caps/>
          <w:szCs w:val="24"/>
          <w:lang w:eastAsia="en-GB"/>
        </w:rPr>
        <w:t>SUPPLIER</w:t>
      </w:r>
    </w:p>
    <w:p w14:paraId="0177D4E3" w14:textId="77777777" w:rsidR="00832AD6" w:rsidRPr="00832AD6" w:rsidRDefault="00832AD6" w:rsidP="00832AD6">
      <w:pPr>
        <w:autoSpaceDE w:val="0"/>
        <w:autoSpaceDN w:val="0"/>
        <w:adjustRightInd w:val="0"/>
        <w:spacing w:before="240" w:after="240"/>
        <w:jc w:val="center"/>
        <w:rPr>
          <w:rFonts w:ascii="Calibri" w:eastAsia="Times New Roman" w:hAnsi="Calibri" w:cs="Arial"/>
          <w:b/>
          <w:caps/>
          <w:szCs w:val="24"/>
          <w:lang w:eastAsia="en-GB"/>
        </w:rPr>
      </w:pPr>
      <w:r w:rsidRPr="00832AD6">
        <w:rPr>
          <w:rFonts w:ascii="Calibri" w:eastAsia="Times New Roman" w:hAnsi="Calibri" w:cs="Arial"/>
          <w:b/>
          <w:caps/>
          <w:szCs w:val="24"/>
          <w:lang w:eastAsia="en-GB"/>
        </w:rPr>
        <w:t>FACILITIES MANAGEMENT MARKETPLACE CONTRACT</w:t>
      </w:r>
    </w:p>
    <w:p w14:paraId="6D2EB678" w14:textId="77777777" w:rsidR="00832AD6" w:rsidRPr="00832AD6" w:rsidRDefault="00832AD6" w:rsidP="00832AD6">
      <w:pPr>
        <w:autoSpaceDE w:val="0"/>
        <w:autoSpaceDN w:val="0"/>
        <w:adjustRightInd w:val="0"/>
        <w:spacing w:before="240" w:after="240"/>
        <w:jc w:val="center"/>
        <w:rPr>
          <w:rFonts w:ascii="Calibri" w:eastAsia="Times New Roman" w:hAnsi="Calibri" w:cs="Arial"/>
          <w:b/>
          <w:caps/>
          <w:szCs w:val="24"/>
          <w:lang w:eastAsia="en-GB"/>
        </w:rPr>
      </w:pPr>
      <w:r w:rsidRPr="00832AD6">
        <w:rPr>
          <w:rFonts w:ascii="Calibri" w:eastAsia="Times New Roman" w:hAnsi="Calibri" w:cs="Arial"/>
          <w:b/>
          <w:caps/>
          <w:szCs w:val="24"/>
          <w:lang w:eastAsia="en-GB"/>
        </w:rPr>
        <w:t>REF: RM3830</w:t>
      </w:r>
    </w:p>
    <w:p w14:paraId="341B07AA" w14:textId="77777777" w:rsidR="00832AD6" w:rsidRPr="00832AD6" w:rsidRDefault="00832AD6" w:rsidP="00832AD6">
      <w:pPr>
        <w:autoSpaceDE w:val="0"/>
        <w:autoSpaceDN w:val="0"/>
        <w:adjustRightInd w:val="0"/>
        <w:spacing w:after="0" w:line="240" w:lineRule="auto"/>
        <w:jc w:val="both"/>
        <w:rPr>
          <w:rFonts w:ascii="Calibri" w:eastAsia="Times New Roman" w:hAnsi="Calibri" w:cs="Arial"/>
          <w:b/>
          <w:sz w:val="20"/>
          <w:szCs w:val="24"/>
          <w:lang w:eastAsia="en-GB"/>
        </w:rPr>
      </w:pPr>
    </w:p>
    <w:p w14:paraId="0C01E3B2" w14:textId="77777777" w:rsidR="00832AD6" w:rsidRPr="00832AD6" w:rsidRDefault="00832AD6" w:rsidP="00832AD6">
      <w:pPr>
        <w:autoSpaceDE w:val="0"/>
        <w:autoSpaceDN w:val="0"/>
        <w:adjustRightInd w:val="0"/>
        <w:spacing w:after="0" w:line="240" w:lineRule="auto"/>
        <w:jc w:val="both"/>
        <w:rPr>
          <w:rFonts w:ascii="Calibri" w:eastAsia="Times New Roman" w:hAnsi="Calibri" w:cs="Arial"/>
          <w:b/>
          <w:sz w:val="20"/>
          <w:szCs w:val="24"/>
          <w:lang w:eastAsia="en-GB"/>
        </w:rPr>
      </w:pPr>
    </w:p>
    <w:p w14:paraId="3F88DC76" w14:textId="77777777" w:rsidR="00832AD6" w:rsidRPr="00832AD6" w:rsidRDefault="00832AD6" w:rsidP="00832AD6">
      <w:pPr>
        <w:autoSpaceDE w:val="0"/>
        <w:autoSpaceDN w:val="0"/>
        <w:adjustRightInd w:val="0"/>
        <w:spacing w:after="240" w:line="240" w:lineRule="auto"/>
        <w:jc w:val="both"/>
        <w:rPr>
          <w:rFonts w:ascii="Calibri" w:eastAsia="Times New Roman" w:hAnsi="Calibri" w:cs="Arial"/>
          <w:sz w:val="20"/>
          <w:szCs w:val="24"/>
          <w:lang w:eastAsia="en-GB"/>
        </w:rPr>
      </w:pPr>
    </w:p>
    <w:p w14:paraId="007E6892" w14:textId="77777777" w:rsidR="00832AD6" w:rsidRPr="00832AD6" w:rsidRDefault="00832AD6" w:rsidP="00832AD6">
      <w:pPr>
        <w:autoSpaceDE w:val="0"/>
        <w:autoSpaceDN w:val="0"/>
        <w:adjustRightInd w:val="0"/>
        <w:spacing w:after="240" w:line="240" w:lineRule="auto"/>
        <w:jc w:val="both"/>
        <w:rPr>
          <w:rFonts w:ascii="Calibri" w:eastAsia="Times New Roman" w:hAnsi="Calibri" w:cs="Arial"/>
          <w:sz w:val="20"/>
          <w:szCs w:val="24"/>
          <w:lang w:eastAsia="en-GB"/>
        </w:rPr>
      </w:pPr>
    </w:p>
    <w:p w14:paraId="0C7E6A61" w14:textId="77777777" w:rsidR="00832AD6" w:rsidRPr="00832AD6" w:rsidRDefault="00832AD6" w:rsidP="00832AD6">
      <w:pPr>
        <w:autoSpaceDE w:val="0"/>
        <w:autoSpaceDN w:val="0"/>
        <w:adjustRightInd w:val="0"/>
        <w:spacing w:after="240" w:line="240" w:lineRule="auto"/>
        <w:jc w:val="both"/>
        <w:rPr>
          <w:rFonts w:ascii="Calibri" w:eastAsia="Times New Roman" w:hAnsi="Calibri" w:cs="Arial"/>
          <w:sz w:val="20"/>
          <w:szCs w:val="24"/>
          <w:lang w:eastAsia="en-GB"/>
        </w:rPr>
      </w:pPr>
    </w:p>
    <w:p w14:paraId="3AB735CA" w14:textId="77777777" w:rsidR="00832AD6" w:rsidRDefault="00832AD6">
      <w:pPr>
        <w:rPr>
          <w:rFonts w:ascii="Arial" w:hAnsi="Arial" w:cs="Arial"/>
          <w:b/>
          <w:caps/>
          <w:sz w:val="20"/>
          <w:szCs w:val="20"/>
        </w:rPr>
      </w:pPr>
      <w:r>
        <w:rPr>
          <w:rFonts w:ascii="Arial" w:hAnsi="Arial" w:cs="Arial"/>
          <w:b/>
          <w:caps/>
          <w:sz w:val="20"/>
          <w:szCs w:val="20"/>
        </w:rPr>
        <w:br w:type="page"/>
      </w:r>
      <w:bookmarkStart w:id="0" w:name="_GoBack"/>
      <w:bookmarkEnd w:id="0"/>
    </w:p>
    <w:p w14:paraId="0CD50238" w14:textId="68C3CDB3" w:rsidR="006F181E" w:rsidRPr="00B91012" w:rsidRDefault="004F6905">
      <w:pPr>
        <w:pStyle w:val="Header"/>
        <w:jc w:val="center"/>
        <w:rPr>
          <w:rFonts w:ascii="Arial" w:hAnsi="Arial" w:cs="Arial"/>
          <w:b/>
          <w:caps/>
          <w:sz w:val="20"/>
          <w:szCs w:val="20"/>
        </w:rPr>
      </w:pPr>
      <w:r w:rsidRPr="00B91012">
        <w:rPr>
          <w:rFonts w:ascii="Arial" w:hAnsi="Arial" w:cs="Arial"/>
          <w:b/>
          <w:caps/>
          <w:sz w:val="20"/>
          <w:szCs w:val="20"/>
        </w:rPr>
        <w:lastRenderedPageBreak/>
        <w:t>JOINT</w:t>
      </w:r>
      <w:r w:rsidR="00A044CC" w:rsidRPr="00B91012">
        <w:rPr>
          <w:rFonts w:ascii="Arial" w:hAnsi="Arial" w:cs="Arial"/>
          <w:b/>
          <w:caps/>
          <w:sz w:val="20"/>
          <w:szCs w:val="20"/>
        </w:rPr>
        <w:t xml:space="preserve"> Schedule 1</w:t>
      </w:r>
      <w:r w:rsidR="002771AA" w:rsidRPr="00B91012">
        <w:rPr>
          <w:rFonts w:ascii="Arial" w:hAnsi="Arial" w:cs="Arial"/>
          <w:b/>
          <w:caps/>
          <w:sz w:val="20"/>
          <w:szCs w:val="20"/>
        </w:rPr>
        <w:t>1</w:t>
      </w:r>
    </w:p>
    <w:p w14:paraId="62C2D69D" w14:textId="77777777" w:rsidR="006F181E" w:rsidRPr="00B91012" w:rsidRDefault="006F181E">
      <w:pPr>
        <w:pStyle w:val="Header"/>
        <w:jc w:val="center"/>
        <w:rPr>
          <w:rFonts w:ascii="Arial" w:hAnsi="Arial" w:cs="Arial"/>
          <w:b/>
          <w:caps/>
          <w:sz w:val="20"/>
          <w:szCs w:val="20"/>
        </w:rPr>
      </w:pPr>
    </w:p>
    <w:p w14:paraId="67B02EAF" w14:textId="77777777" w:rsidR="00712566" w:rsidRPr="00B91012" w:rsidRDefault="002771AA" w:rsidP="00BA4E3B">
      <w:pPr>
        <w:pStyle w:val="GPSSchTitleandNumber"/>
        <w:rPr>
          <w:rFonts w:ascii="Arial" w:hAnsi="Arial" w:cs="Arial"/>
          <w:sz w:val="20"/>
          <w:szCs w:val="20"/>
        </w:rPr>
      </w:pPr>
      <w:r w:rsidRPr="00B91012">
        <w:rPr>
          <w:rFonts w:ascii="Arial" w:hAnsi="Arial" w:cs="Arial"/>
          <w:sz w:val="20"/>
          <w:szCs w:val="20"/>
        </w:rPr>
        <w:t>Processing DATA</w:t>
      </w:r>
    </w:p>
    <w:p w14:paraId="6CFBCDC2" w14:textId="77777777" w:rsidR="00BA4E3B" w:rsidRPr="00B91012" w:rsidRDefault="00BA4E3B" w:rsidP="00BA4E3B">
      <w:pPr>
        <w:pStyle w:val="GPSSchTitleandNumber"/>
        <w:rPr>
          <w:rFonts w:ascii="Arial" w:hAnsi="Arial" w:cs="Arial"/>
          <w:sz w:val="20"/>
          <w:szCs w:val="20"/>
        </w:rPr>
      </w:pPr>
    </w:p>
    <w:p w14:paraId="131171AF" w14:textId="5A77F3F8" w:rsidR="00725BAC" w:rsidRPr="00B91012" w:rsidRDefault="00946D03" w:rsidP="00C871A9">
      <w:pPr>
        <w:pStyle w:val="NormalWeb"/>
        <w:spacing w:before="20" w:beforeAutospacing="0" w:after="20" w:afterAutospacing="0"/>
        <w:jc w:val="both"/>
        <w:rPr>
          <w:rStyle w:val="gmail-apple-tab-span"/>
          <w:rFonts w:ascii="Arial" w:hAnsi="Arial" w:cs="Arial"/>
          <w:color w:val="000000"/>
          <w:sz w:val="20"/>
          <w:szCs w:val="20"/>
        </w:rPr>
      </w:pPr>
      <w:proofErr w:type="gramStart"/>
      <w:r>
        <w:rPr>
          <w:rStyle w:val="gmail-apple-tab-span"/>
          <w:rFonts w:ascii="Arial" w:hAnsi="Arial" w:cs="Arial"/>
          <w:color w:val="000000"/>
          <w:sz w:val="20"/>
          <w:szCs w:val="20"/>
        </w:rPr>
        <w:t xml:space="preserve">1. </w:t>
      </w:r>
      <w:r w:rsidR="00725BAC" w:rsidRPr="00B91012">
        <w:rPr>
          <w:rStyle w:val="gmail-apple-tab-span"/>
          <w:rFonts w:ascii="Arial" w:hAnsi="Arial" w:cs="Arial"/>
          <w:color w:val="000000"/>
          <w:sz w:val="20"/>
          <w:szCs w:val="20"/>
        </w:rPr>
        <w:t>Only</w:t>
      </w:r>
      <w:proofErr w:type="gramEnd"/>
      <w:r w:rsidR="00725BAC" w:rsidRPr="00B91012">
        <w:rPr>
          <w:rStyle w:val="gmail-apple-tab-span"/>
          <w:rFonts w:ascii="Arial" w:hAnsi="Arial" w:cs="Arial"/>
          <w:color w:val="000000"/>
          <w:sz w:val="20"/>
          <w:szCs w:val="20"/>
        </w:rPr>
        <w:t xml:space="preserve"> the Relevant Authority can decide what processing of Personal Data a Supplier can do </w:t>
      </w:r>
      <w:r w:rsidR="00EC783E" w:rsidRPr="00B91012">
        <w:rPr>
          <w:rStyle w:val="gmail-apple-tab-span"/>
          <w:rFonts w:ascii="Arial" w:hAnsi="Arial" w:cs="Arial"/>
          <w:color w:val="000000"/>
          <w:sz w:val="20"/>
          <w:szCs w:val="20"/>
        </w:rPr>
        <w:t xml:space="preserve">under a Contract </w:t>
      </w:r>
      <w:r w:rsidR="00725BAC" w:rsidRPr="00B91012">
        <w:rPr>
          <w:rStyle w:val="gmail-apple-tab-span"/>
          <w:rFonts w:ascii="Arial" w:hAnsi="Arial" w:cs="Arial"/>
          <w:color w:val="000000"/>
          <w:sz w:val="20"/>
          <w:szCs w:val="20"/>
        </w:rPr>
        <w:t>and must specify it for each Contract using the template in Annex 1 (Authorised Processing) to this Schedule.</w:t>
      </w:r>
    </w:p>
    <w:p w14:paraId="1F42F0C3" w14:textId="77777777" w:rsidR="00725BAC" w:rsidRPr="00B91012" w:rsidRDefault="00725BAC" w:rsidP="00C871A9">
      <w:pPr>
        <w:pStyle w:val="NormalWeb"/>
        <w:spacing w:before="20" w:beforeAutospacing="0" w:after="20" w:afterAutospacing="0"/>
        <w:jc w:val="both"/>
        <w:rPr>
          <w:rStyle w:val="gmail-apple-tab-span"/>
          <w:rFonts w:ascii="Arial" w:hAnsi="Arial" w:cs="Arial"/>
          <w:color w:val="000000"/>
          <w:sz w:val="20"/>
          <w:szCs w:val="20"/>
        </w:rPr>
      </w:pPr>
    </w:p>
    <w:p w14:paraId="661B266E" w14:textId="77777777" w:rsidR="00A469A3" w:rsidRPr="00B91012" w:rsidRDefault="00725BAC" w:rsidP="00C871A9">
      <w:pPr>
        <w:pStyle w:val="NormalWeb"/>
        <w:spacing w:before="20" w:beforeAutospacing="0" w:after="20" w:afterAutospacing="0"/>
        <w:jc w:val="both"/>
        <w:rPr>
          <w:rStyle w:val="gmail-apple-tab-span"/>
          <w:rFonts w:ascii="Arial" w:hAnsi="Arial" w:cs="Arial"/>
          <w:color w:val="000000"/>
          <w:sz w:val="20"/>
          <w:szCs w:val="20"/>
        </w:rPr>
      </w:pPr>
      <w:r w:rsidRPr="00B91012">
        <w:rPr>
          <w:rStyle w:val="gmail-apple-tab-span"/>
          <w:rFonts w:ascii="Arial" w:hAnsi="Arial" w:cs="Arial"/>
          <w:color w:val="000000"/>
          <w:sz w:val="20"/>
          <w:szCs w:val="20"/>
        </w:rPr>
        <w:t xml:space="preserve">2. </w:t>
      </w:r>
      <w:r w:rsidR="00A469A3" w:rsidRPr="00B91012">
        <w:rPr>
          <w:rStyle w:val="gmail-apple-tab-span"/>
          <w:rFonts w:ascii="Arial" w:hAnsi="Arial" w:cs="Arial"/>
          <w:color w:val="000000"/>
          <w:sz w:val="20"/>
          <w:szCs w:val="20"/>
        </w:rPr>
        <w:t>The Supplier must only process Personal Data if authorised to do so in Annex 1</w:t>
      </w:r>
      <w:r w:rsidR="0052113C" w:rsidRPr="00B91012">
        <w:rPr>
          <w:rStyle w:val="gmail-apple-tab-span"/>
          <w:rFonts w:ascii="Arial" w:hAnsi="Arial" w:cs="Arial"/>
          <w:color w:val="000000"/>
          <w:sz w:val="20"/>
          <w:szCs w:val="20"/>
        </w:rPr>
        <w:t xml:space="preserve"> (Authorised Processing) by the Relevant Authority. Any further written instructions relating to the processing of Personal Data </w:t>
      </w:r>
      <w:proofErr w:type="gramStart"/>
      <w:r w:rsidR="0052113C" w:rsidRPr="00B91012">
        <w:rPr>
          <w:rStyle w:val="gmail-apple-tab-span"/>
          <w:rFonts w:ascii="Arial" w:hAnsi="Arial" w:cs="Arial"/>
          <w:color w:val="000000"/>
          <w:sz w:val="20"/>
          <w:szCs w:val="20"/>
        </w:rPr>
        <w:t>are incorporated</w:t>
      </w:r>
      <w:proofErr w:type="gramEnd"/>
      <w:r w:rsidR="0052113C" w:rsidRPr="00B91012">
        <w:rPr>
          <w:rStyle w:val="gmail-apple-tab-span"/>
          <w:rFonts w:ascii="Arial" w:hAnsi="Arial" w:cs="Arial"/>
          <w:color w:val="000000"/>
          <w:sz w:val="20"/>
          <w:szCs w:val="20"/>
        </w:rPr>
        <w:t xml:space="preserve"> into Annex 1 to this Schedule. </w:t>
      </w:r>
    </w:p>
    <w:p w14:paraId="3A9E2FA4" w14:textId="77777777" w:rsidR="00A469A3" w:rsidRPr="00B91012" w:rsidRDefault="00A469A3" w:rsidP="00C871A9">
      <w:pPr>
        <w:pStyle w:val="NormalWeb"/>
        <w:spacing w:before="20" w:beforeAutospacing="0" w:after="20" w:afterAutospacing="0"/>
        <w:jc w:val="both"/>
        <w:rPr>
          <w:rStyle w:val="gmail-apple-tab-span"/>
          <w:rFonts w:ascii="Arial" w:hAnsi="Arial" w:cs="Arial"/>
          <w:color w:val="000000"/>
          <w:sz w:val="20"/>
          <w:szCs w:val="20"/>
        </w:rPr>
      </w:pPr>
    </w:p>
    <w:p w14:paraId="61966CB6" w14:textId="77777777" w:rsidR="00712566" w:rsidRDefault="00725BAC" w:rsidP="00C871A9">
      <w:pPr>
        <w:pStyle w:val="NormalWeb"/>
        <w:spacing w:before="20" w:beforeAutospacing="0" w:after="20" w:afterAutospacing="0"/>
        <w:jc w:val="both"/>
        <w:rPr>
          <w:rFonts w:ascii="Arial" w:hAnsi="Arial" w:cs="Arial"/>
          <w:color w:val="000000"/>
          <w:sz w:val="20"/>
          <w:szCs w:val="20"/>
        </w:rPr>
      </w:pPr>
      <w:r w:rsidRPr="00B91012">
        <w:rPr>
          <w:rFonts w:ascii="Arial" w:hAnsi="Arial" w:cs="Arial"/>
          <w:color w:val="000000"/>
          <w:sz w:val="20"/>
          <w:szCs w:val="20"/>
        </w:rPr>
        <w:t xml:space="preserve">3. </w:t>
      </w:r>
      <w:r w:rsidR="00712566" w:rsidRPr="00B91012">
        <w:rPr>
          <w:rFonts w:ascii="Arial" w:hAnsi="Arial" w:cs="Arial"/>
          <w:color w:val="000000"/>
          <w:sz w:val="20"/>
          <w:szCs w:val="20"/>
        </w:rPr>
        <w:t>The Supplier must give all reasonable assistance to the Relevant Authority in the preparation of any Data Protection Impact Assessment before starting any processing, including:</w:t>
      </w:r>
    </w:p>
    <w:p w14:paraId="001B209E" w14:textId="77777777" w:rsidR="00B91012" w:rsidRPr="00B91012" w:rsidRDefault="00B91012" w:rsidP="00C871A9">
      <w:pPr>
        <w:pStyle w:val="NormalWeb"/>
        <w:spacing w:before="20" w:beforeAutospacing="0" w:after="20" w:afterAutospacing="0"/>
        <w:jc w:val="both"/>
        <w:rPr>
          <w:rFonts w:ascii="Arial" w:hAnsi="Arial" w:cs="Arial"/>
          <w:sz w:val="20"/>
          <w:szCs w:val="20"/>
        </w:rPr>
      </w:pPr>
    </w:p>
    <w:p w14:paraId="62D55C8E" w14:textId="77777777" w:rsidR="00712566" w:rsidRPr="00B91012" w:rsidRDefault="00712566" w:rsidP="00C871A9">
      <w:pPr>
        <w:pStyle w:val="NormalWeb"/>
        <w:numPr>
          <w:ilvl w:val="0"/>
          <w:numId w:val="2"/>
        </w:numPr>
        <w:spacing w:before="20" w:beforeAutospacing="0" w:after="0" w:afterAutospacing="0"/>
        <w:jc w:val="both"/>
        <w:textAlignment w:val="baseline"/>
        <w:rPr>
          <w:rFonts w:ascii="Arial" w:hAnsi="Arial" w:cs="Arial"/>
          <w:color w:val="000000"/>
          <w:sz w:val="20"/>
          <w:szCs w:val="20"/>
        </w:rPr>
      </w:pPr>
      <w:r w:rsidRPr="00B91012">
        <w:rPr>
          <w:rFonts w:ascii="Arial" w:hAnsi="Arial" w:cs="Arial"/>
          <w:color w:val="000000"/>
          <w:sz w:val="20"/>
          <w:szCs w:val="20"/>
        </w:rPr>
        <w:t>a systematic description of the expected processing and its purpose</w:t>
      </w:r>
    </w:p>
    <w:p w14:paraId="2E4C96A4" w14:textId="77777777" w:rsidR="00712566" w:rsidRPr="00B91012" w:rsidRDefault="00712566" w:rsidP="00C871A9">
      <w:pPr>
        <w:pStyle w:val="NormalWeb"/>
        <w:numPr>
          <w:ilvl w:val="0"/>
          <w:numId w:val="2"/>
        </w:numPr>
        <w:spacing w:before="0" w:beforeAutospacing="0" w:after="0" w:afterAutospacing="0"/>
        <w:jc w:val="both"/>
        <w:textAlignment w:val="baseline"/>
        <w:rPr>
          <w:rFonts w:ascii="Arial" w:hAnsi="Arial" w:cs="Arial"/>
          <w:color w:val="000000"/>
          <w:sz w:val="20"/>
          <w:szCs w:val="20"/>
        </w:rPr>
      </w:pPr>
      <w:r w:rsidRPr="00B91012">
        <w:rPr>
          <w:rFonts w:ascii="Arial" w:hAnsi="Arial" w:cs="Arial"/>
          <w:color w:val="000000"/>
          <w:sz w:val="20"/>
          <w:szCs w:val="20"/>
        </w:rPr>
        <w:t>the necessity and proportionality of the processing operations</w:t>
      </w:r>
    </w:p>
    <w:p w14:paraId="4B3BF05D" w14:textId="77777777" w:rsidR="00712566" w:rsidRPr="00B91012" w:rsidRDefault="00712566" w:rsidP="00C871A9">
      <w:pPr>
        <w:pStyle w:val="NormalWeb"/>
        <w:numPr>
          <w:ilvl w:val="0"/>
          <w:numId w:val="2"/>
        </w:numPr>
        <w:spacing w:before="0" w:beforeAutospacing="0" w:after="0" w:afterAutospacing="0"/>
        <w:jc w:val="both"/>
        <w:textAlignment w:val="baseline"/>
        <w:rPr>
          <w:rFonts w:ascii="Arial" w:hAnsi="Arial" w:cs="Arial"/>
          <w:color w:val="000000"/>
          <w:sz w:val="20"/>
          <w:szCs w:val="20"/>
        </w:rPr>
      </w:pPr>
      <w:r w:rsidRPr="00B91012">
        <w:rPr>
          <w:rFonts w:ascii="Arial" w:hAnsi="Arial" w:cs="Arial"/>
          <w:color w:val="000000"/>
          <w:sz w:val="20"/>
          <w:szCs w:val="20"/>
        </w:rPr>
        <w:t>the risks to the rights and freedoms of Data Subjects</w:t>
      </w:r>
    </w:p>
    <w:p w14:paraId="5580F102" w14:textId="77777777" w:rsidR="00712566" w:rsidRPr="00B91012" w:rsidRDefault="00712566" w:rsidP="00C871A9">
      <w:pPr>
        <w:pStyle w:val="NormalWeb"/>
        <w:numPr>
          <w:ilvl w:val="0"/>
          <w:numId w:val="2"/>
        </w:numPr>
        <w:spacing w:before="0" w:beforeAutospacing="0" w:after="240" w:afterAutospacing="0"/>
        <w:jc w:val="both"/>
        <w:textAlignment w:val="baseline"/>
        <w:rPr>
          <w:rFonts w:ascii="Arial" w:hAnsi="Arial" w:cs="Arial"/>
          <w:color w:val="000000"/>
          <w:sz w:val="20"/>
          <w:szCs w:val="20"/>
        </w:rPr>
      </w:pPr>
      <w:r w:rsidRPr="00B91012">
        <w:rPr>
          <w:rFonts w:ascii="Arial" w:hAnsi="Arial" w:cs="Arial"/>
          <w:color w:val="000000"/>
          <w:sz w:val="20"/>
          <w:szCs w:val="20"/>
        </w:rPr>
        <w:t>the intended measures to address the risks, including safeguards, security measures and mechanisms to protect Personal Data</w:t>
      </w:r>
    </w:p>
    <w:p w14:paraId="4EAAAFAB" w14:textId="07D7944B" w:rsidR="00712566" w:rsidRPr="00B91012" w:rsidRDefault="00725BAC" w:rsidP="00C871A9">
      <w:pPr>
        <w:pStyle w:val="NormalWeb"/>
        <w:spacing w:before="20" w:beforeAutospacing="0" w:after="20" w:afterAutospacing="0"/>
        <w:jc w:val="both"/>
        <w:rPr>
          <w:rFonts w:ascii="Arial" w:hAnsi="Arial" w:cs="Arial"/>
          <w:sz w:val="20"/>
          <w:szCs w:val="20"/>
        </w:rPr>
      </w:pPr>
      <w:r w:rsidRPr="00B91012">
        <w:rPr>
          <w:rFonts w:ascii="Arial" w:hAnsi="Arial" w:cs="Arial"/>
          <w:color w:val="000000"/>
          <w:sz w:val="20"/>
          <w:szCs w:val="20"/>
        </w:rPr>
        <w:t>4</w:t>
      </w:r>
      <w:r w:rsidR="00712566" w:rsidRPr="00B91012">
        <w:rPr>
          <w:rFonts w:ascii="Arial" w:hAnsi="Arial" w:cs="Arial"/>
          <w:color w:val="000000"/>
          <w:sz w:val="20"/>
          <w:szCs w:val="20"/>
        </w:rPr>
        <w:t>.</w:t>
      </w:r>
      <w:r w:rsidR="004F6905" w:rsidRPr="00B91012">
        <w:rPr>
          <w:rFonts w:ascii="Arial" w:hAnsi="Arial" w:cs="Arial"/>
          <w:color w:val="000000"/>
          <w:sz w:val="20"/>
          <w:szCs w:val="20"/>
        </w:rPr>
        <w:t xml:space="preserve"> </w:t>
      </w:r>
      <w:r w:rsidR="00712566" w:rsidRPr="00B91012">
        <w:rPr>
          <w:rFonts w:ascii="Arial" w:hAnsi="Arial" w:cs="Arial"/>
          <w:color w:val="000000"/>
          <w:sz w:val="20"/>
          <w:szCs w:val="20"/>
        </w:rPr>
        <w:t>The Supplier must notify the Relevant Authority immediately if it thinks the Relevant Authority's instructions breach the Data Protection Legislation.</w:t>
      </w:r>
    </w:p>
    <w:p w14:paraId="05221A14" w14:textId="77777777" w:rsidR="00712566" w:rsidRPr="00B91012" w:rsidRDefault="00712566" w:rsidP="00C871A9">
      <w:pPr>
        <w:pStyle w:val="NormalWeb"/>
        <w:spacing w:before="20" w:beforeAutospacing="0" w:after="20" w:afterAutospacing="0"/>
        <w:jc w:val="both"/>
        <w:rPr>
          <w:rFonts w:ascii="Arial" w:hAnsi="Arial" w:cs="Arial"/>
          <w:color w:val="000000"/>
          <w:sz w:val="20"/>
          <w:szCs w:val="20"/>
        </w:rPr>
      </w:pPr>
    </w:p>
    <w:p w14:paraId="5CCEBAE3" w14:textId="50BE6B95" w:rsidR="00712566" w:rsidRDefault="00725BAC" w:rsidP="00946D03">
      <w:pPr>
        <w:pStyle w:val="NormalWeb"/>
        <w:spacing w:before="20" w:beforeAutospacing="0" w:after="20" w:afterAutospacing="0"/>
        <w:jc w:val="both"/>
        <w:rPr>
          <w:rFonts w:ascii="Arial" w:hAnsi="Arial" w:cs="Arial"/>
          <w:color w:val="000000"/>
          <w:sz w:val="20"/>
          <w:szCs w:val="20"/>
        </w:rPr>
      </w:pPr>
      <w:r w:rsidRPr="00B91012">
        <w:rPr>
          <w:rFonts w:ascii="Arial" w:hAnsi="Arial" w:cs="Arial"/>
          <w:color w:val="000000"/>
          <w:sz w:val="20"/>
          <w:szCs w:val="20"/>
        </w:rPr>
        <w:t>5</w:t>
      </w:r>
      <w:r w:rsidR="00712566" w:rsidRPr="00B91012">
        <w:rPr>
          <w:rFonts w:ascii="Arial" w:hAnsi="Arial" w:cs="Arial"/>
          <w:color w:val="000000"/>
          <w:sz w:val="20"/>
          <w:szCs w:val="20"/>
        </w:rPr>
        <w:t>.</w:t>
      </w:r>
      <w:r w:rsidR="004F6905" w:rsidRPr="00B91012">
        <w:rPr>
          <w:rStyle w:val="gmail-apple-tab-span"/>
          <w:rFonts w:ascii="Arial" w:hAnsi="Arial" w:cs="Arial"/>
          <w:color w:val="000000"/>
          <w:sz w:val="20"/>
          <w:szCs w:val="20"/>
        </w:rPr>
        <w:t xml:space="preserve"> </w:t>
      </w:r>
      <w:r w:rsidR="00712566" w:rsidRPr="00B91012">
        <w:rPr>
          <w:rFonts w:ascii="Arial" w:hAnsi="Arial" w:cs="Arial"/>
          <w:color w:val="000000"/>
          <w:sz w:val="20"/>
          <w:szCs w:val="20"/>
        </w:rPr>
        <w:t xml:space="preserve">The Supplier must put in place appropriate Protective Measures to protect against a Data Loss </w:t>
      </w:r>
      <w:proofErr w:type="gramStart"/>
      <w:r w:rsidR="00712566" w:rsidRPr="00B91012">
        <w:rPr>
          <w:rFonts w:ascii="Arial" w:hAnsi="Arial" w:cs="Arial"/>
          <w:color w:val="000000"/>
          <w:sz w:val="20"/>
          <w:szCs w:val="20"/>
        </w:rPr>
        <w:t>Event which</w:t>
      </w:r>
      <w:proofErr w:type="gramEnd"/>
      <w:r w:rsidR="00712566" w:rsidRPr="00B91012">
        <w:rPr>
          <w:rFonts w:ascii="Arial" w:hAnsi="Arial" w:cs="Arial"/>
          <w:color w:val="000000"/>
          <w:sz w:val="20"/>
          <w:szCs w:val="20"/>
        </w:rPr>
        <w:t xml:space="preserve"> must be approved by the Relevant Authority.</w:t>
      </w:r>
    </w:p>
    <w:p w14:paraId="343206AD" w14:textId="77777777" w:rsidR="00946D03" w:rsidRPr="00B91012" w:rsidRDefault="00946D03" w:rsidP="00946D03">
      <w:pPr>
        <w:pStyle w:val="NormalWeb"/>
        <w:spacing w:before="20" w:beforeAutospacing="0" w:after="20" w:afterAutospacing="0"/>
        <w:jc w:val="both"/>
        <w:rPr>
          <w:rFonts w:ascii="Arial" w:hAnsi="Arial" w:cs="Arial"/>
          <w:sz w:val="20"/>
          <w:szCs w:val="20"/>
        </w:rPr>
      </w:pPr>
    </w:p>
    <w:p w14:paraId="360B171C" w14:textId="46D75B58" w:rsidR="00712566" w:rsidRDefault="00725BAC" w:rsidP="00946D03">
      <w:pPr>
        <w:pStyle w:val="NormalWeb"/>
        <w:spacing w:before="20" w:beforeAutospacing="0" w:after="20" w:afterAutospacing="0"/>
        <w:jc w:val="both"/>
        <w:rPr>
          <w:rFonts w:ascii="Arial" w:hAnsi="Arial" w:cs="Arial"/>
          <w:color w:val="000000"/>
          <w:sz w:val="20"/>
          <w:szCs w:val="20"/>
        </w:rPr>
      </w:pPr>
      <w:r w:rsidRPr="00B91012">
        <w:rPr>
          <w:rFonts w:ascii="Arial" w:hAnsi="Arial" w:cs="Arial"/>
          <w:color w:val="000000"/>
          <w:sz w:val="20"/>
          <w:szCs w:val="20"/>
        </w:rPr>
        <w:t>6</w:t>
      </w:r>
      <w:r w:rsidR="00712566" w:rsidRPr="00B91012">
        <w:rPr>
          <w:rFonts w:ascii="Arial" w:hAnsi="Arial" w:cs="Arial"/>
          <w:color w:val="000000"/>
          <w:sz w:val="20"/>
          <w:szCs w:val="20"/>
        </w:rPr>
        <w:t>.</w:t>
      </w:r>
      <w:r w:rsidR="004F6905" w:rsidRPr="00B91012">
        <w:rPr>
          <w:rStyle w:val="gmail-apple-tab-span"/>
          <w:rFonts w:ascii="Arial" w:hAnsi="Arial" w:cs="Arial"/>
          <w:color w:val="000000"/>
          <w:sz w:val="20"/>
          <w:szCs w:val="20"/>
        </w:rPr>
        <w:t xml:space="preserve"> </w:t>
      </w:r>
      <w:r w:rsidR="00712566" w:rsidRPr="00B91012">
        <w:rPr>
          <w:rFonts w:ascii="Arial" w:hAnsi="Arial" w:cs="Arial"/>
          <w:color w:val="000000"/>
          <w:sz w:val="20"/>
          <w:szCs w:val="20"/>
        </w:rPr>
        <w:t>If lawful to</w:t>
      </w:r>
      <w:r w:rsidR="004F6905" w:rsidRPr="00B91012">
        <w:rPr>
          <w:rFonts w:ascii="Arial" w:hAnsi="Arial" w:cs="Arial"/>
          <w:color w:val="000000"/>
          <w:sz w:val="20"/>
          <w:szCs w:val="20"/>
        </w:rPr>
        <w:t xml:space="preserve"> notify the Relevant Authority</w:t>
      </w:r>
      <w:r w:rsidR="00712566" w:rsidRPr="00B91012">
        <w:rPr>
          <w:rFonts w:ascii="Arial" w:hAnsi="Arial" w:cs="Arial"/>
          <w:color w:val="000000"/>
          <w:sz w:val="20"/>
          <w:szCs w:val="20"/>
        </w:rPr>
        <w:t>, the Supplier must notify</w:t>
      </w:r>
      <w:r w:rsidR="004F6905" w:rsidRPr="00B91012">
        <w:rPr>
          <w:rFonts w:ascii="Arial" w:hAnsi="Arial" w:cs="Arial"/>
          <w:color w:val="000000"/>
          <w:sz w:val="20"/>
          <w:szCs w:val="20"/>
        </w:rPr>
        <w:t xml:space="preserve"> it</w:t>
      </w:r>
      <w:r w:rsidR="00712566" w:rsidRPr="00B91012">
        <w:rPr>
          <w:rFonts w:ascii="Arial" w:hAnsi="Arial" w:cs="Arial"/>
          <w:color w:val="000000"/>
          <w:sz w:val="20"/>
          <w:szCs w:val="20"/>
        </w:rPr>
        <w:t xml:space="preserve"> if</w:t>
      </w:r>
      <w:r w:rsidR="004F6905" w:rsidRPr="00B91012">
        <w:rPr>
          <w:rFonts w:ascii="Arial" w:hAnsi="Arial" w:cs="Arial"/>
          <w:color w:val="000000"/>
          <w:sz w:val="20"/>
          <w:szCs w:val="20"/>
        </w:rPr>
        <w:t xml:space="preserve"> the Supplier</w:t>
      </w:r>
      <w:r w:rsidR="00712566" w:rsidRPr="00B91012">
        <w:rPr>
          <w:rFonts w:ascii="Arial" w:hAnsi="Arial" w:cs="Arial"/>
          <w:color w:val="000000"/>
          <w:sz w:val="20"/>
          <w:szCs w:val="20"/>
        </w:rPr>
        <w:t xml:space="preserve"> is required to process Personal Data by Law promptly and before processing it. </w:t>
      </w:r>
    </w:p>
    <w:p w14:paraId="4ED8082C" w14:textId="77777777" w:rsidR="00946D03" w:rsidRPr="00B91012" w:rsidRDefault="00946D03" w:rsidP="00946D03">
      <w:pPr>
        <w:pStyle w:val="NormalWeb"/>
        <w:spacing w:before="20" w:beforeAutospacing="0" w:after="20" w:afterAutospacing="0"/>
        <w:jc w:val="both"/>
        <w:rPr>
          <w:rFonts w:ascii="Arial" w:hAnsi="Arial" w:cs="Arial"/>
          <w:sz w:val="20"/>
          <w:szCs w:val="20"/>
        </w:rPr>
      </w:pPr>
    </w:p>
    <w:p w14:paraId="3DAB9E4D" w14:textId="7FA2F2B5" w:rsidR="00712566" w:rsidRDefault="00725BAC" w:rsidP="00B91012">
      <w:pPr>
        <w:pStyle w:val="NormalWeb"/>
        <w:spacing w:before="20" w:beforeAutospacing="0" w:after="20" w:afterAutospacing="0"/>
        <w:jc w:val="both"/>
        <w:rPr>
          <w:rFonts w:ascii="Arial" w:hAnsi="Arial" w:cs="Arial"/>
          <w:color w:val="000000"/>
          <w:sz w:val="20"/>
          <w:szCs w:val="20"/>
        </w:rPr>
      </w:pPr>
      <w:r w:rsidRPr="00B91012">
        <w:rPr>
          <w:rFonts w:ascii="Arial" w:hAnsi="Arial" w:cs="Arial"/>
          <w:color w:val="000000"/>
          <w:sz w:val="20"/>
          <w:szCs w:val="20"/>
        </w:rPr>
        <w:t>7</w:t>
      </w:r>
      <w:r w:rsidR="00712566" w:rsidRPr="00B91012">
        <w:rPr>
          <w:rFonts w:ascii="Arial" w:hAnsi="Arial" w:cs="Arial"/>
          <w:color w:val="000000"/>
          <w:sz w:val="20"/>
          <w:szCs w:val="20"/>
        </w:rPr>
        <w:t>.</w:t>
      </w:r>
      <w:r w:rsidR="00B91012">
        <w:rPr>
          <w:rFonts w:ascii="Arial" w:hAnsi="Arial" w:cs="Arial"/>
          <w:color w:val="000000"/>
          <w:sz w:val="20"/>
          <w:szCs w:val="20"/>
        </w:rPr>
        <w:t xml:space="preserve"> </w:t>
      </w:r>
      <w:r w:rsidR="00712566" w:rsidRPr="00B91012">
        <w:rPr>
          <w:rFonts w:ascii="Arial" w:hAnsi="Arial" w:cs="Arial"/>
          <w:color w:val="000000"/>
          <w:sz w:val="20"/>
          <w:szCs w:val="20"/>
        </w:rPr>
        <w:t>The Supplier must take all reasonable steps to ensure the reliability and integrity of any Supplier Staff who have access to the Personal Data and ensure that they:</w:t>
      </w:r>
    </w:p>
    <w:p w14:paraId="29461187" w14:textId="77777777" w:rsidR="00B91012" w:rsidRPr="00B91012" w:rsidRDefault="00B91012" w:rsidP="00B91012">
      <w:pPr>
        <w:pStyle w:val="NormalWeb"/>
        <w:spacing w:before="20" w:beforeAutospacing="0" w:after="20" w:afterAutospacing="0"/>
        <w:jc w:val="both"/>
        <w:rPr>
          <w:rFonts w:ascii="Arial" w:hAnsi="Arial" w:cs="Arial"/>
          <w:sz w:val="20"/>
          <w:szCs w:val="20"/>
        </w:rPr>
      </w:pPr>
    </w:p>
    <w:p w14:paraId="7BE4D56C" w14:textId="77777777" w:rsidR="00712566" w:rsidRPr="00B91012" w:rsidRDefault="00712566" w:rsidP="00C871A9">
      <w:pPr>
        <w:pStyle w:val="NormalWeb"/>
        <w:numPr>
          <w:ilvl w:val="0"/>
          <w:numId w:val="3"/>
        </w:numPr>
        <w:spacing w:before="2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 xml:space="preserve">are aware of and comply with the Supplier’s duties under this </w:t>
      </w:r>
      <w:r w:rsidR="00A469A3" w:rsidRPr="00B91012">
        <w:rPr>
          <w:rFonts w:ascii="Arial" w:hAnsi="Arial" w:cs="Arial"/>
          <w:color w:val="000000"/>
          <w:sz w:val="20"/>
          <w:szCs w:val="20"/>
        </w:rPr>
        <w:t>Schedule</w:t>
      </w:r>
    </w:p>
    <w:p w14:paraId="14DC8E31" w14:textId="449BD1A5" w:rsidR="00712566" w:rsidRPr="00B91012" w:rsidRDefault="00712566" w:rsidP="00C871A9">
      <w:pPr>
        <w:pStyle w:val="NormalWeb"/>
        <w:numPr>
          <w:ilvl w:val="0"/>
          <w:numId w:val="3"/>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 xml:space="preserve">are subject to appropriate confidentiality undertakings with the Supplier or any </w:t>
      </w:r>
      <w:r w:rsidR="001D266F" w:rsidRPr="00B91012">
        <w:rPr>
          <w:rFonts w:ascii="Arial" w:hAnsi="Arial" w:cs="Arial"/>
          <w:color w:val="000000"/>
          <w:sz w:val="20"/>
          <w:szCs w:val="20"/>
        </w:rPr>
        <w:t>Sub processor</w:t>
      </w:r>
    </w:p>
    <w:p w14:paraId="6C47AE50" w14:textId="77777777" w:rsidR="00712566" w:rsidRPr="00B91012" w:rsidRDefault="00712566" w:rsidP="00C871A9">
      <w:pPr>
        <w:pStyle w:val="NormalWeb"/>
        <w:numPr>
          <w:ilvl w:val="0"/>
          <w:numId w:val="3"/>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are informed of the confidential nature of the Personal Data and do not provide any of the Personal Data to any third Party unless directed in writing to do so by the Relevant Authority or as otherwise allowed by a Contract</w:t>
      </w:r>
    </w:p>
    <w:p w14:paraId="14F71BF7" w14:textId="77777777" w:rsidR="00712566" w:rsidRPr="00B91012" w:rsidRDefault="00712566" w:rsidP="00C871A9">
      <w:pPr>
        <w:pStyle w:val="NormalWeb"/>
        <w:numPr>
          <w:ilvl w:val="0"/>
          <w:numId w:val="3"/>
        </w:numPr>
        <w:spacing w:before="0" w:beforeAutospacing="0" w:after="2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have undergone adequate training in the use, care, protection and handling of Personal Data</w:t>
      </w:r>
    </w:p>
    <w:p w14:paraId="66F89198" w14:textId="77777777" w:rsidR="00712566" w:rsidRPr="00B91012" w:rsidRDefault="00712566" w:rsidP="00C871A9">
      <w:pPr>
        <w:jc w:val="both"/>
        <w:rPr>
          <w:rFonts w:ascii="Arial" w:hAnsi="Arial" w:cs="Arial"/>
          <w:sz w:val="20"/>
          <w:szCs w:val="20"/>
        </w:rPr>
      </w:pPr>
    </w:p>
    <w:p w14:paraId="68F65D44" w14:textId="17009D98" w:rsidR="00712566" w:rsidRDefault="00B713EA" w:rsidP="00C871A9">
      <w:pPr>
        <w:pStyle w:val="NormalWeb"/>
        <w:spacing w:before="20" w:beforeAutospacing="0" w:after="20" w:afterAutospacing="0"/>
        <w:jc w:val="both"/>
        <w:rPr>
          <w:rFonts w:ascii="Arial" w:hAnsi="Arial" w:cs="Arial"/>
          <w:color w:val="000000"/>
          <w:sz w:val="20"/>
          <w:szCs w:val="20"/>
        </w:rPr>
      </w:pPr>
      <w:r w:rsidRPr="00B91012">
        <w:rPr>
          <w:rFonts w:ascii="Arial" w:hAnsi="Arial" w:cs="Arial"/>
          <w:color w:val="000000"/>
          <w:sz w:val="20"/>
          <w:szCs w:val="20"/>
        </w:rPr>
        <w:t>8</w:t>
      </w:r>
      <w:r w:rsidR="00712566" w:rsidRPr="00B91012">
        <w:rPr>
          <w:rFonts w:ascii="Arial" w:hAnsi="Arial" w:cs="Arial"/>
          <w:color w:val="000000"/>
          <w:sz w:val="20"/>
          <w:szCs w:val="20"/>
        </w:rPr>
        <w:t>. The Supplier must not transfer Personal Data outs</w:t>
      </w:r>
      <w:r w:rsidR="000859BA" w:rsidRPr="00B91012">
        <w:rPr>
          <w:rFonts w:ascii="Arial" w:hAnsi="Arial" w:cs="Arial"/>
          <w:color w:val="000000"/>
          <w:sz w:val="20"/>
          <w:szCs w:val="20"/>
        </w:rPr>
        <w:t>ide of the EU unless all of the following are true:</w:t>
      </w:r>
    </w:p>
    <w:p w14:paraId="16F87B16" w14:textId="77777777" w:rsidR="009C3FD0" w:rsidRDefault="009C3FD0" w:rsidP="00C871A9">
      <w:pPr>
        <w:pStyle w:val="NormalWeb"/>
        <w:spacing w:before="20" w:beforeAutospacing="0" w:after="20" w:afterAutospacing="0"/>
        <w:jc w:val="both"/>
        <w:rPr>
          <w:rFonts w:ascii="Arial" w:hAnsi="Arial" w:cs="Arial"/>
          <w:color w:val="000000"/>
          <w:sz w:val="20"/>
          <w:szCs w:val="20"/>
        </w:rPr>
      </w:pPr>
    </w:p>
    <w:p w14:paraId="2FD76ED3" w14:textId="77777777" w:rsidR="007A056D" w:rsidRPr="007A056D" w:rsidRDefault="007A056D" w:rsidP="007A056D">
      <w:pPr>
        <w:pStyle w:val="NormalWeb"/>
        <w:numPr>
          <w:ilvl w:val="0"/>
          <w:numId w:val="4"/>
        </w:numPr>
        <w:spacing w:before="20" w:beforeAutospacing="0" w:after="0" w:afterAutospacing="0"/>
        <w:ind w:left="1800"/>
        <w:jc w:val="both"/>
        <w:textAlignment w:val="baseline"/>
        <w:rPr>
          <w:rFonts w:ascii="Arial" w:hAnsi="Arial" w:cs="Arial"/>
          <w:color w:val="000000"/>
          <w:sz w:val="20"/>
          <w:szCs w:val="20"/>
        </w:rPr>
      </w:pPr>
      <w:r w:rsidRPr="007A056D">
        <w:rPr>
          <w:rFonts w:ascii="Arial" w:hAnsi="Arial" w:cs="Arial"/>
          <w:sz w:val="20"/>
          <w:szCs w:val="20"/>
        </w:rPr>
        <w:t>i</w:t>
      </w:r>
      <w:r w:rsidR="000859BA" w:rsidRPr="007A056D">
        <w:rPr>
          <w:rFonts w:ascii="Arial" w:hAnsi="Arial" w:cs="Arial"/>
          <w:sz w:val="20"/>
          <w:szCs w:val="20"/>
        </w:rPr>
        <w:t>t has obtained prior written consent of the Relevant Authority</w:t>
      </w:r>
    </w:p>
    <w:p w14:paraId="35F19076" w14:textId="147B978E" w:rsidR="007A056D" w:rsidRPr="007A056D" w:rsidRDefault="000859BA" w:rsidP="007A056D">
      <w:pPr>
        <w:pStyle w:val="NormalWeb"/>
        <w:numPr>
          <w:ilvl w:val="0"/>
          <w:numId w:val="4"/>
        </w:numPr>
        <w:spacing w:before="20" w:beforeAutospacing="0" w:after="0" w:afterAutospacing="0"/>
        <w:ind w:left="1800"/>
        <w:jc w:val="both"/>
        <w:textAlignment w:val="baseline"/>
        <w:rPr>
          <w:rFonts w:ascii="Arial" w:hAnsi="Arial" w:cs="Arial"/>
          <w:color w:val="000000"/>
          <w:sz w:val="20"/>
          <w:szCs w:val="20"/>
        </w:rPr>
      </w:pPr>
      <w:r w:rsidRPr="007A056D">
        <w:rPr>
          <w:rFonts w:ascii="Arial" w:hAnsi="Arial" w:cs="Arial"/>
          <w:sz w:val="20"/>
          <w:szCs w:val="20"/>
        </w:rPr>
        <w:t>the Relevant Authority has decided that t</w:t>
      </w:r>
      <w:r w:rsidR="009C3FD0">
        <w:rPr>
          <w:rFonts w:ascii="Arial" w:hAnsi="Arial" w:cs="Arial"/>
          <w:sz w:val="20"/>
          <w:szCs w:val="20"/>
        </w:rPr>
        <w:t>here are Appropriate Safeguards</w:t>
      </w:r>
    </w:p>
    <w:p w14:paraId="6471F023" w14:textId="12FA8C7E" w:rsidR="009C3FD0" w:rsidRPr="009C3FD0" w:rsidRDefault="007A056D" w:rsidP="009C3FD0">
      <w:pPr>
        <w:pStyle w:val="NormalWeb"/>
        <w:numPr>
          <w:ilvl w:val="0"/>
          <w:numId w:val="4"/>
        </w:numPr>
        <w:spacing w:before="20" w:beforeAutospacing="0" w:after="0" w:afterAutospacing="0"/>
        <w:ind w:left="1800"/>
        <w:jc w:val="both"/>
        <w:textAlignment w:val="baseline"/>
        <w:rPr>
          <w:rFonts w:ascii="Arial" w:hAnsi="Arial" w:cs="Arial"/>
          <w:color w:val="000000"/>
          <w:sz w:val="20"/>
          <w:szCs w:val="20"/>
        </w:rPr>
      </w:pPr>
      <w:r w:rsidRPr="007A056D">
        <w:rPr>
          <w:rFonts w:ascii="Arial" w:hAnsi="Arial" w:cs="Arial"/>
          <w:sz w:val="20"/>
          <w:szCs w:val="20"/>
        </w:rPr>
        <w:t xml:space="preserve">the </w:t>
      </w:r>
      <w:r w:rsidR="000859BA" w:rsidRPr="007A056D">
        <w:rPr>
          <w:rFonts w:ascii="Arial" w:hAnsi="Arial" w:cs="Arial"/>
          <w:sz w:val="20"/>
          <w:szCs w:val="20"/>
        </w:rPr>
        <w:t xml:space="preserve">Data Subject has enforceable rights and effective </w:t>
      </w:r>
      <w:r w:rsidR="009C3FD0">
        <w:rPr>
          <w:rFonts w:ascii="Arial" w:hAnsi="Arial" w:cs="Arial"/>
          <w:sz w:val="20"/>
          <w:szCs w:val="20"/>
        </w:rPr>
        <w:t>legal remedies when transferred</w:t>
      </w:r>
    </w:p>
    <w:p w14:paraId="3A8AE367" w14:textId="20E6FFE1" w:rsidR="009C3FD0" w:rsidRDefault="000859BA" w:rsidP="009C3FD0">
      <w:pPr>
        <w:pStyle w:val="NormalWeb"/>
        <w:numPr>
          <w:ilvl w:val="0"/>
          <w:numId w:val="4"/>
        </w:numPr>
        <w:spacing w:before="20" w:beforeAutospacing="0" w:after="0" w:afterAutospacing="0"/>
        <w:ind w:left="1800"/>
        <w:jc w:val="both"/>
        <w:textAlignment w:val="baseline"/>
        <w:rPr>
          <w:rFonts w:ascii="Arial" w:hAnsi="Arial" w:cs="Arial"/>
          <w:color w:val="000000"/>
          <w:sz w:val="20"/>
          <w:szCs w:val="20"/>
        </w:rPr>
      </w:pPr>
      <w:r w:rsidRPr="007A056D">
        <w:rPr>
          <w:rFonts w:ascii="Arial" w:hAnsi="Arial" w:cs="Arial"/>
          <w:sz w:val="20"/>
          <w:szCs w:val="20"/>
        </w:rPr>
        <w:t>the Supplier meets its obligations under the Data Protection Legislation by providing an adequate level of protection to any Pe</w:t>
      </w:r>
      <w:r w:rsidR="009C3FD0">
        <w:rPr>
          <w:rFonts w:ascii="Arial" w:hAnsi="Arial" w:cs="Arial"/>
          <w:sz w:val="20"/>
          <w:szCs w:val="20"/>
        </w:rPr>
        <w:t>rsonal Data that is transferred</w:t>
      </w:r>
    </w:p>
    <w:p w14:paraId="45ADDFBF" w14:textId="1C392A9D" w:rsidR="009C3FD0" w:rsidRPr="009C3FD0" w:rsidRDefault="009C3FD0" w:rsidP="009C3FD0">
      <w:pPr>
        <w:pStyle w:val="NormalWeb"/>
        <w:numPr>
          <w:ilvl w:val="0"/>
          <w:numId w:val="4"/>
        </w:numPr>
        <w:spacing w:before="20" w:beforeAutospacing="0" w:after="0" w:afterAutospacing="0"/>
        <w:ind w:left="1800"/>
        <w:jc w:val="both"/>
        <w:textAlignment w:val="baseline"/>
        <w:rPr>
          <w:rFonts w:ascii="Arial" w:hAnsi="Arial" w:cs="Arial"/>
          <w:color w:val="000000"/>
          <w:sz w:val="20"/>
          <w:szCs w:val="20"/>
        </w:rPr>
      </w:pPr>
      <w:r>
        <w:rPr>
          <w:rFonts w:ascii="Arial" w:hAnsi="Arial" w:cs="Arial"/>
          <w:color w:val="000000"/>
          <w:sz w:val="20"/>
          <w:szCs w:val="20"/>
        </w:rPr>
        <w:t>w</w:t>
      </w:r>
      <w:r w:rsidR="000859BA" w:rsidRPr="009C3FD0">
        <w:rPr>
          <w:rFonts w:ascii="Arial" w:hAnsi="Arial" w:cs="Arial"/>
          <w:sz w:val="20"/>
          <w:szCs w:val="20"/>
        </w:rPr>
        <w:t xml:space="preserve">here the Supplier is not bound by Data Protection Legislation it must use its best endeavours to help the Relevant Authority meet its own obligations under </w:t>
      </w:r>
      <w:r>
        <w:rPr>
          <w:rFonts w:ascii="Arial" w:hAnsi="Arial" w:cs="Arial"/>
          <w:sz w:val="20"/>
          <w:szCs w:val="20"/>
        </w:rPr>
        <w:t>Data Protection Legislation</w:t>
      </w:r>
    </w:p>
    <w:p w14:paraId="2691F6CF" w14:textId="3A6D879E" w:rsidR="00712566" w:rsidRPr="009C3FD0" w:rsidRDefault="000859BA" w:rsidP="009C3FD0">
      <w:pPr>
        <w:pStyle w:val="NormalWeb"/>
        <w:numPr>
          <w:ilvl w:val="0"/>
          <w:numId w:val="4"/>
        </w:numPr>
        <w:spacing w:before="20" w:beforeAutospacing="0" w:after="0" w:afterAutospacing="0"/>
        <w:ind w:left="1800"/>
        <w:jc w:val="both"/>
        <w:textAlignment w:val="baseline"/>
        <w:rPr>
          <w:rFonts w:ascii="Arial" w:hAnsi="Arial" w:cs="Arial"/>
          <w:color w:val="000000"/>
          <w:sz w:val="20"/>
          <w:szCs w:val="20"/>
        </w:rPr>
      </w:pPr>
      <w:proofErr w:type="gramStart"/>
      <w:r w:rsidRPr="009C3FD0">
        <w:rPr>
          <w:rFonts w:ascii="Arial" w:hAnsi="Arial" w:cs="Arial"/>
          <w:sz w:val="20"/>
          <w:szCs w:val="20"/>
        </w:rPr>
        <w:lastRenderedPageBreak/>
        <w:t>the</w:t>
      </w:r>
      <w:proofErr w:type="gramEnd"/>
      <w:r w:rsidRPr="009C3FD0">
        <w:rPr>
          <w:rFonts w:ascii="Arial" w:hAnsi="Arial" w:cs="Arial"/>
          <w:sz w:val="20"/>
          <w:szCs w:val="20"/>
        </w:rPr>
        <w:t xml:space="preserve"> Supplier complies with the Relevant Authority’s reasonable prior instructions about the processing of the Personal Data. </w:t>
      </w:r>
    </w:p>
    <w:p w14:paraId="48B628CF" w14:textId="77777777" w:rsidR="000859BA" w:rsidRPr="00B91012" w:rsidRDefault="000859BA" w:rsidP="00C871A9">
      <w:pPr>
        <w:pStyle w:val="ListParagraph"/>
        <w:widowControl w:val="0"/>
        <w:pBdr>
          <w:top w:val="nil"/>
          <w:left w:val="nil"/>
          <w:bottom w:val="nil"/>
          <w:right w:val="nil"/>
          <w:between w:val="nil"/>
        </w:pBdr>
        <w:tabs>
          <w:tab w:val="left" w:pos="735"/>
          <w:tab w:val="left" w:pos="5292"/>
        </w:tabs>
        <w:suppressAutoHyphens w:val="0"/>
        <w:autoSpaceDN/>
        <w:spacing w:before="20" w:after="20" w:line="240" w:lineRule="auto"/>
        <w:ind w:left="1570"/>
        <w:contextualSpacing/>
        <w:jc w:val="both"/>
        <w:textAlignment w:val="auto"/>
        <w:rPr>
          <w:rFonts w:ascii="Arial" w:hAnsi="Arial" w:cs="Arial"/>
          <w:sz w:val="20"/>
          <w:szCs w:val="20"/>
        </w:rPr>
      </w:pPr>
    </w:p>
    <w:p w14:paraId="0F485D3A" w14:textId="77777777" w:rsidR="00712566" w:rsidRDefault="00B713EA" w:rsidP="00C871A9">
      <w:pPr>
        <w:pStyle w:val="NormalWeb"/>
        <w:spacing w:before="20" w:beforeAutospacing="0" w:after="20" w:afterAutospacing="0"/>
        <w:jc w:val="both"/>
        <w:rPr>
          <w:rFonts w:ascii="Arial" w:hAnsi="Arial" w:cs="Arial"/>
          <w:color w:val="000000"/>
          <w:sz w:val="20"/>
          <w:szCs w:val="20"/>
        </w:rPr>
      </w:pPr>
      <w:r w:rsidRPr="00B91012">
        <w:rPr>
          <w:rFonts w:ascii="Arial" w:hAnsi="Arial" w:cs="Arial"/>
          <w:color w:val="000000"/>
          <w:sz w:val="20"/>
          <w:szCs w:val="20"/>
        </w:rPr>
        <w:t>9</w:t>
      </w:r>
      <w:r w:rsidR="00712566" w:rsidRPr="00B91012">
        <w:rPr>
          <w:rFonts w:ascii="Arial" w:hAnsi="Arial" w:cs="Arial"/>
          <w:color w:val="000000"/>
          <w:sz w:val="20"/>
          <w:szCs w:val="20"/>
        </w:rPr>
        <w:t xml:space="preserve">. </w:t>
      </w:r>
      <w:r w:rsidR="00712566" w:rsidRPr="00B91012">
        <w:rPr>
          <w:rStyle w:val="gmail-apple-tab-span"/>
          <w:rFonts w:ascii="Arial" w:hAnsi="Arial" w:cs="Arial"/>
          <w:color w:val="000000"/>
          <w:sz w:val="20"/>
          <w:szCs w:val="20"/>
        </w:rPr>
        <w:tab/>
      </w:r>
      <w:r w:rsidR="00712566" w:rsidRPr="00B91012">
        <w:rPr>
          <w:rFonts w:ascii="Arial" w:hAnsi="Arial" w:cs="Arial"/>
          <w:color w:val="000000"/>
          <w:sz w:val="20"/>
          <w:szCs w:val="20"/>
        </w:rPr>
        <w:t>The Supplier must notify the Relevant Authority immediately if it:</w:t>
      </w:r>
    </w:p>
    <w:p w14:paraId="1DB8E063" w14:textId="77777777" w:rsidR="00B91012" w:rsidRPr="00B91012" w:rsidRDefault="00B91012" w:rsidP="00C871A9">
      <w:pPr>
        <w:pStyle w:val="NormalWeb"/>
        <w:spacing w:before="20" w:beforeAutospacing="0" w:after="20" w:afterAutospacing="0"/>
        <w:jc w:val="both"/>
        <w:rPr>
          <w:rFonts w:ascii="Arial" w:hAnsi="Arial" w:cs="Arial"/>
          <w:sz w:val="20"/>
          <w:szCs w:val="20"/>
        </w:rPr>
      </w:pPr>
    </w:p>
    <w:p w14:paraId="662D2D3F" w14:textId="77777777" w:rsidR="00712566" w:rsidRPr="00B91012" w:rsidRDefault="00712566" w:rsidP="00C871A9">
      <w:pPr>
        <w:pStyle w:val="NormalWeb"/>
        <w:numPr>
          <w:ilvl w:val="0"/>
          <w:numId w:val="4"/>
        </w:numPr>
        <w:spacing w:before="2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receives a Data Subject Access Request (or purported Data Subject Access Request)</w:t>
      </w:r>
    </w:p>
    <w:p w14:paraId="6E2DA60C" w14:textId="77777777" w:rsidR="00712566" w:rsidRPr="00B91012" w:rsidRDefault="00712566" w:rsidP="00C871A9">
      <w:pPr>
        <w:pStyle w:val="NormalWeb"/>
        <w:numPr>
          <w:ilvl w:val="0"/>
          <w:numId w:val="4"/>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receives a request to rectify, block or erase any Personal Data</w:t>
      </w:r>
    </w:p>
    <w:p w14:paraId="6848043B" w14:textId="77777777" w:rsidR="00712566" w:rsidRPr="00B91012" w:rsidRDefault="00712566" w:rsidP="00C871A9">
      <w:pPr>
        <w:pStyle w:val="NormalWeb"/>
        <w:numPr>
          <w:ilvl w:val="0"/>
          <w:numId w:val="4"/>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receives any other request, complaint or communication relating to either Party's obligations under the Data Protection Legislation</w:t>
      </w:r>
    </w:p>
    <w:p w14:paraId="2DD73E9A" w14:textId="77777777" w:rsidR="00712566" w:rsidRPr="00B91012" w:rsidRDefault="00712566" w:rsidP="00C871A9">
      <w:pPr>
        <w:pStyle w:val="NormalWeb"/>
        <w:numPr>
          <w:ilvl w:val="0"/>
          <w:numId w:val="4"/>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receives any communication from the Information Commissioner or any other regulatory authority in connection with Personal Data processed under this Contract</w:t>
      </w:r>
    </w:p>
    <w:p w14:paraId="35895464" w14:textId="77777777" w:rsidR="00712566" w:rsidRPr="00B91012" w:rsidRDefault="00712566" w:rsidP="00C871A9">
      <w:pPr>
        <w:pStyle w:val="NormalWeb"/>
        <w:numPr>
          <w:ilvl w:val="0"/>
          <w:numId w:val="4"/>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receives a request from any third Party for disclosure of Personal Data where compliance with the request is required or claims to be required by Law</w:t>
      </w:r>
    </w:p>
    <w:p w14:paraId="70774DE0" w14:textId="77777777" w:rsidR="00712566" w:rsidRPr="00B91012" w:rsidRDefault="00712566" w:rsidP="00C871A9">
      <w:pPr>
        <w:pStyle w:val="NormalWeb"/>
        <w:numPr>
          <w:ilvl w:val="0"/>
          <w:numId w:val="4"/>
        </w:numPr>
        <w:spacing w:before="0" w:beforeAutospacing="0" w:after="2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becomes aware of a Data Loss Event</w:t>
      </w:r>
    </w:p>
    <w:p w14:paraId="2BF38A81" w14:textId="77777777" w:rsidR="00712566" w:rsidRPr="00B91012" w:rsidRDefault="00712566" w:rsidP="00C871A9">
      <w:pPr>
        <w:jc w:val="both"/>
        <w:rPr>
          <w:rFonts w:ascii="Arial" w:hAnsi="Arial" w:cs="Arial"/>
          <w:sz w:val="20"/>
          <w:szCs w:val="20"/>
        </w:rPr>
      </w:pPr>
    </w:p>
    <w:p w14:paraId="391541B8" w14:textId="0E89658B" w:rsidR="00712566" w:rsidRPr="00B91012" w:rsidRDefault="00B713EA" w:rsidP="00C871A9">
      <w:pPr>
        <w:pStyle w:val="NormalWeb"/>
        <w:spacing w:before="20" w:beforeAutospacing="0" w:after="20" w:afterAutospacing="0"/>
        <w:jc w:val="both"/>
        <w:rPr>
          <w:rFonts w:ascii="Arial" w:hAnsi="Arial" w:cs="Arial"/>
          <w:sz w:val="20"/>
          <w:szCs w:val="20"/>
        </w:rPr>
      </w:pPr>
      <w:r w:rsidRPr="00B91012">
        <w:rPr>
          <w:rFonts w:ascii="Arial" w:hAnsi="Arial" w:cs="Arial"/>
          <w:color w:val="000000"/>
          <w:sz w:val="20"/>
          <w:szCs w:val="20"/>
        </w:rPr>
        <w:t>10</w:t>
      </w:r>
      <w:r w:rsidR="00712566" w:rsidRPr="00B91012">
        <w:rPr>
          <w:rFonts w:ascii="Arial" w:hAnsi="Arial" w:cs="Arial"/>
          <w:color w:val="000000"/>
          <w:sz w:val="20"/>
          <w:szCs w:val="20"/>
        </w:rPr>
        <w:t xml:space="preserve">. Any requirement to notify under </w:t>
      </w:r>
      <w:r w:rsidR="001E784D" w:rsidRPr="00B91012">
        <w:rPr>
          <w:rFonts w:ascii="Arial" w:hAnsi="Arial" w:cs="Arial"/>
          <w:color w:val="000000"/>
          <w:sz w:val="20"/>
          <w:szCs w:val="20"/>
        </w:rPr>
        <w:t>P</w:t>
      </w:r>
      <w:r w:rsidRPr="00B91012">
        <w:rPr>
          <w:rFonts w:ascii="Arial" w:hAnsi="Arial" w:cs="Arial"/>
          <w:color w:val="000000"/>
          <w:sz w:val="20"/>
          <w:szCs w:val="20"/>
        </w:rPr>
        <w:t>aragraph 9</w:t>
      </w:r>
      <w:r w:rsidR="00712566" w:rsidRPr="00B91012">
        <w:rPr>
          <w:rFonts w:ascii="Arial" w:hAnsi="Arial" w:cs="Arial"/>
          <w:color w:val="000000"/>
          <w:sz w:val="20"/>
          <w:szCs w:val="20"/>
        </w:rPr>
        <w:t xml:space="preserve"> includes the provision of further information to the Relevant Authority in stages as details become available.</w:t>
      </w:r>
    </w:p>
    <w:p w14:paraId="7F86F4ED" w14:textId="77777777" w:rsidR="00712566" w:rsidRPr="00B91012" w:rsidRDefault="00712566" w:rsidP="00C871A9">
      <w:pPr>
        <w:jc w:val="both"/>
        <w:rPr>
          <w:rFonts w:ascii="Arial" w:hAnsi="Arial" w:cs="Arial"/>
          <w:sz w:val="20"/>
          <w:szCs w:val="20"/>
        </w:rPr>
      </w:pPr>
    </w:p>
    <w:p w14:paraId="776F1411" w14:textId="4F19095F" w:rsidR="00712566" w:rsidRDefault="00B713EA" w:rsidP="00C871A9">
      <w:pPr>
        <w:pStyle w:val="NormalWeb"/>
        <w:spacing w:before="20" w:beforeAutospacing="0" w:after="20" w:afterAutospacing="0"/>
        <w:jc w:val="both"/>
        <w:rPr>
          <w:rFonts w:ascii="Arial" w:hAnsi="Arial" w:cs="Arial"/>
          <w:color w:val="000000"/>
          <w:sz w:val="20"/>
          <w:szCs w:val="20"/>
        </w:rPr>
      </w:pPr>
      <w:r w:rsidRPr="00B91012">
        <w:rPr>
          <w:rFonts w:ascii="Arial" w:hAnsi="Arial" w:cs="Arial"/>
          <w:color w:val="000000"/>
          <w:sz w:val="20"/>
          <w:szCs w:val="20"/>
        </w:rPr>
        <w:t>11</w:t>
      </w:r>
      <w:r w:rsidR="00712566" w:rsidRPr="00B91012">
        <w:rPr>
          <w:rFonts w:ascii="Arial" w:hAnsi="Arial" w:cs="Arial"/>
          <w:color w:val="000000"/>
          <w:sz w:val="20"/>
          <w:szCs w:val="20"/>
        </w:rPr>
        <w:t>.</w:t>
      </w:r>
      <w:r w:rsidR="00B91012">
        <w:rPr>
          <w:rStyle w:val="gmail-apple-tab-span"/>
          <w:rFonts w:ascii="Arial" w:hAnsi="Arial" w:cs="Arial"/>
          <w:color w:val="000000"/>
          <w:sz w:val="20"/>
          <w:szCs w:val="20"/>
        </w:rPr>
        <w:t xml:space="preserve"> </w:t>
      </w:r>
      <w:r w:rsidR="00712566" w:rsidRPr="00B91012">
        <w:rPr>
          <w:rFonts w:ascii="Arial" w:hAnsi="Arial" w:cs="Arial"/>
          <w:color w:val="000000"/>
          <w:sz w:val="20"/>
          <w:szCs w:val="20"/>
        </w:rPr>
        <w:t xml:space="preserve">The Supplier must promptly provide the Relevant Authority with full assistance in relation to any Party's obligations under Data Protection Legislation and any complaint, communication or request made under </w:t>
      </w:r>
      <w:r w:rsidR="001E784D" w:rsidRPr="00B91012">
        <w:rPr>
          <w:rFonts w:ascii="Arial" w:hAnsi="Arial" w:cs="Arial"/>
          <w:color w:val="000000"/>
          <w:sz w:val="20"/>
          <w:szCs w:val="20"/>
        </w:rPr>
        <w:t>P</w:t>
      </w:r>
      <w:r w:rsidRPr="00B91012">
        <w:rPr>
          <w:rFonts w:ascii="Arial" w:hAnsi="Arial" w:cs="Arial"/>
          <w:color w:val="000000"/>
          <w:sz w:val="20"/>
          <w:szCs w:val="20"/>
        </w:rPr>
        <w:t>aragraph 9</w:t>
      </w:r>
      <w:r w:rsidR="00712566" w:rsidRPr="00B91012">
        <w:rPr>
          <w:rFonts w:ascii="Arial" w:hAnsi="Arial" w:cs="Arial"/>
          <w:color w:val="000000"/>
          <w:sz w:val="20"/>
          <w:szCs w:val="20"/>
        </w:rPr>
        <w:t>. This includes giving the Relevant Authority:</w:t>
      </w:r>
    </w:p>
    <w:p w14:paraId="0B643102" w14:textId="77777777" w:rsidR="00B91012" w:rsidRPr="00B91012" w:rsidRDefault="00B91012" w:rsidP="00C871A9">
      <w:pPr>
        <w:pStyle w:val="NormalWeb"/>
        <w:spacing w:before="20" w:beforeAutospacing="0" w:after="20" w:afterAutospacing="0"/>
        <w:jc w:val="both"/>
        <w:rPr>
          <w:rFonts w:ascii="Arial" w:hAnsi="Arial" w:cs="Arial"/>
          <w:sz w:val="20"/>
          <w:szCs w:val="20"/>
        </w:rPr>
      </w:pPr>
    </w:p>
    <w:p w14:paraId="7B61C6A2" w14:textId="77777777" w:rsidR="00712566" w:rsidRPr="00B91012" w:rsidRDefault="00712566" w:rsidP="00C871A9">
      <w:pPr>
        <w:pStyle w:val="NormalWeb"/>
        <w:numPr>
          <w:ilvl w:val="0"/>
          <w:numId w:val="5"/>
        </w:numPr>
        <w:spacing w:before="2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full details and copies of the complaint, communication or request</w:t>
      </w:r>
    </w:p>
    <w:p w14:paraId="710E3BCB" w14:textId="77777777" w:rsidR="00712566" w:rsidRPr="00B91012" w:rsidRDefault="00712566" w:rsidP="00C871A9">
      <w:pPr>
        <w:pStyle w:val="NormalWeb"/>
        <w:numPr>
          <w:ilvl w:val="0"/>
          <w:numId w:val="5"/>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 xml:space="preserve">reasonably requested assistance so that it can comply with a Data Subject Access Request within the relevant timescales in the Data Protection Legislation </w:t>
      </w:r>
    </w:p>
    <w:p w14:paraId="4A18E031" w14:textId="77777777" w:rsidR="00712566" w:rsidRPr="00B91012" w:rsidRDefault="00712566" w:rsidP="00C871A9">
      <w:pPr>
        <w:pStyle w:val="NormalWeb"/>
        <w:numPr>
          <w:ilvl w:val="0"/>
          <w:numId w:val="5"/>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 xml:space="preserve">any Personal Data it holds in relation to a Data Subject on request </w:t>
      </w:r>
    </w:p>
    <w:p w14:paraId="375DA4F9" w14:textId="77777777" w:rsidR="00712566" w:rsidRPr="00B91012" w:rsidRDefault="00712566" w:rsidP="00C871A9">
      <w:pPr>
        <w:pStyle w:val="NormalWeb"/>
        <w:numPr>
          <w:ilvl w:val="0"/>
          <w:numId w:val="5"/>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assistance that it requests following any Data Loss Event</w:t>
      </w:r>
    </w:p>
    <w:p w14:paraId="1E8EB0E3" w14:textId="77777777" w:rsidR="00712566" w:rsidRPr="00B91012" w:rsidRDefault="00712566" w:rsidP="00C871A9">
      <w:pPr>
        <w:pStyle w:val="NormalWeb"/>
        <w:numPr>
          <w:ilvl w:val="0"/>
          <w:numId w:val="5"/>
        </w:numPr>
        <w:spacing w:before="0" w:beforeAutospacing="0" w:after="2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 xml:space="preserve">assistance that it requests relating to a consultation with, or request from, the Information Commissioner’s Office </w:t>
      </w:r>
    </w:p>
    <w:p w14:paraId="6324B26E" w14:textId="77777777" w:rsidR="00712566" w:rsidRPr="00B91012" w:rsidRDefault="00712566" w:rsidP="00C871A9">
      <w:pPr>
        <w:jc w:val="both"/>
        <w:rPr>
          <w:rFonts w:ascii="Arial" w:hAnsi="Arial" w:cs="Arial"/>
          <w:sz w:val="20"/>
          <w:szCs w:val="20"/>
        </w:rPr>
      </w:pPr>
    </w:p>
    <w:p w14:paraId="0DEA3ECB" w14:textId="0EB79200" w:rsidR="00712566" w:rsidRDefault="00712566" w:rsidP="00B91012">
      <w:pPr>
        <w:pStyle w:val="NormalWeb"/>
        <w:spacing w:before="20" w:beforeAutospacing="0" w:after="20" w:afterAutospacing="0"/>
        <w:jc w:val="both"/>
        <w:rPr>
          <w:rFonts w:ascii="Arial" w:hAnsi="Arial" w:cs="Arial"/>
          <w:color w:val="000000"/>
          <w:sz w:val="20"/>
          <w:szCs w:val="20"/>
        </w:rPr>
      </w:pPr>
      <w:r w:rsidRPr="00B91012">
        <w:rPr>
          <w:rFonts w:ascii="Arial" w:hAnsi="Arial" w:cs="Arial"/>
          <w:color w:val="000000"/>
          <w:sz w:val="20"/>
          <w:szCs w:val="20"/>
        </w:rPr>
        <w:t>1</w:t>
      </w:r>
      <w:r w:rsidR="00B713EA" w:rsidRPr="00B91012">
        <w:rPr>
          <w:rFonts w:ascii="Arial" w:hAnsi="Arial" w:cs="Arial"/>
          <w:color w:val="000000"/>
          <w:sz w:val="20"/>
          <w:szCs w:val="20"/>
        </w:rPr>
        <w:t>2</w:t>
      </w:r>
      <w:r w:rsidRPr="00B91012">
        <w:rPr>
          <w:rFonts w:ascii="Arial" w:hAnsi="Arial" w:cs="Arial"/>
          <w:color w:val="000000"/>
          <w:sz w:val="20"/>
          <w:szCs w:val="20"/>
        </w:rPr>
        <w:t>.</w:t>
      </w:r>
      <w:r w:rsidR="009C3FD0">
        <w:rPr>
          <w:rFonts w:ascii="Arial" w:hAnsi="Arial" w:cs="Arial"/>
          <w:color w:val="000000"/>
          <w:sz w:val="20"/>
          <w:szCs w:val="20"/>
        </w:rPr>
        <w:t xml:space="preserve"> </w:t>
      </w:r>
      <w:r w:rsidRPr="00B91012">
        <w:rPr>
          <w:rFonts w:ascii="Arial" w:hAnsi="Arial" w:cs="Arial"/>
          <w:color w:val="000000"/>
          <w:sz w:val="20"/>
          <w:szCs w:val="20"/>
        </w:rPr>
        <w:t>The Supplier must maintain full, accurate reco</w:t>
      </w:r>
      <w:r w:rsidR="00A469A3" w:rsidRPr="00B91012">
        <w:rPr>
          <w:rFonts w:ascii="Arial" w:hAnsi="Arial" w:cs="Arial"/>
          <w:color w:val="000000"/>
          <w:sz w:val="20"/>
          <w:szCs w:val="20"/>
        </w:rPr>
        <w:t>rds and information to show it</w:t>
      </w:r>
      <w:r w:rsidR="009C3FD0">
        <w:rPr>
          <w:rFonts w:ascii="Arial" w:hAnsi="Arial" w:cs="Arial"/>
          <w:color w:val="000000"/>
          <w:sz w:val="20"/>
          <w:szCs w:val="20"/>
        </w:rPr>
        <w:t xml:space="preserve"> </w:t>
      </w:r>
      <w:r w:rsidRPr="00B91012">
        <w:rPr>
          <w:rFonts w:ascii="Arial" w:hAnsi="Arial" w:cs="Arial"/>
          <w:color w:val="000000"/>
          <w:sz w:val="20"/>
          <w:szCs w:val="20"/>
        </w:rPr>
        <w:t>complies with this Schedule. This requirement does not apply where the Supplier employs fewer th</w:t>
      </w:r>
      <w:r w:rsidR="00A469A3" w:rsidRPr="00B91012">
        <w:rPr>
          <w:rFonts w:ascii="Arial" w:hAnsi="Arial" w:cs="Arial"/>
          <w:color w:val="000000"/>
          <w:sz w:val="20"/>
          <w:szCs w:val="20"/>
        </w:rPr>
        <w:t>an 250 staff, unless either the</w:t>
      </w:r>
      <w:r w:rsidRPr="00B91012">
        <w:rPr>
          <w:rFonts w:ascii="Arial" w:hAnsi="Arial" w:cs="Arial"/>
          <w:color w:val="000000"/>
          <w:sz w:val="20"/>
          <w:szCs w:val="20"/>
        </w:rPr>
        <w:t> Relevant Authority determines that the processing:</w:t>
      </w:r>
    </w:p>
    <w:p w14:paraId="31F2EFEF" w14:textId="77777777" w:rsidR="00B91012" w:rsidRPr="00B91012" w:rsidRDefault="00B91012" w:rsidP="00B91012">
      <w:pPr>
        <w:pStyle w:val="NormalWeb"/>
        <w:spacing w:before="20" w:beforeAutospacing="0" w:after="20" w:afterAutospacing="0"/>
        <w:jc w:val="both"/>
        <w:rPr>
          <w:rFonts w:ascii="Arial" w:hAnsi="Arial" w:cs="Arial"/>
          <w:sz w:val="20"/>
          <w:szCs w:val="20"/>
        </w:rPr>
      </w:pPr>
    </w:p>
    <w:p w14:paraId="6E77A7B1" w14:textId="77777777" w:rsidR="00712566" w:rsidRPr="00B91012" w:rsidRDefault="00712566" w:rsidP="00C871A9">
      <w:pPr>
        <w:pStyle w:val="NormalWeb"/>
        <w:numPr>
          <w:ilvl w:val="0"/>
          <w:numId w:val="6"/>
        </w:numPr>
        <w:spacing w:before="2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is not occasional</w:t>
      </w:r>
    </w:p>
    <w:p w14:paraId="7F69291C" w14:textId="77777777" w:rsidR="00712566" w:rsidRPr="00B91012" w:rsidRDefault="00712566" w:rsidP="00C871A9">
      <w:pPr>
        <w:pStyle w:val="NormalWeb"/>
        <w:numPr>
          <w:ilvl w:val="0"/>
          <w:numId w:val="6"/>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includes special categories of data as referred to in Article 9(1) of the GDPR or Personal Data relating to criminal convictions and offences referred to in Article 10 of the GDPR</w:t>
      </w:r>
    </w:p>
    <w:p w14:paraId="005B0219" w14:textId="77777777" w:rsidR="00712566" w:rsidRPr="00B91012" w:rsidRDefault="00712566" w:rsidP="00C871A9">
      <w:pPr>
        <w:pStyle w:val="NormalWeb"/>
        <w:numPr>
          <w:ilvl w:val="0"/>
          <w:numId w:val="6"/>
        </w:numPr>
        <w:spacing w:before="0" w:beforeAutospacing="0" w:after="2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is likely to result in a risk to the rights and freedoms of Data Subjects</w:t>
      </w:r>
    </w:p>
    <w:p w14:paraId="3E6C345A" w14:textId="77777777" w:rsidR="00712566" w:rsidRPr="00B91012" w:rsidRDefault="00712566" w:rsidP="00C871A9">
      <w:pPr>
        <w:jc w:val="both"/>
        <w:rPr>
          <w:rFonts w:ascii="Arial" w:hAnsi="Arial" w:cs="Arial"/>
          <w:sz w:val="20"/>
          <w:szCs w:val="20"/>
        </w:rPr>
      </w:pPr>
    </w:p>
    <w:p w14:paraId="58212E2C" w14:textId="3368CC76" w:rsidR="00712566" w:rsidRPr="00B91012" w:rsidRDefault="00B713EA" w:rsidP="00C871A9">
      <w:pPr>
        <w:pStyle w:val="NormalWeb"/>
        <w:spacing w:before="20" w:beforeAutospacing="0" w:after="20" w:afterAutospacing="0"/>
        <w:jc w:val="both"/>
        <w:rPr>
          <w:rFonts w:ascii="Arial" w:hAnsi="Arial" w:cs="Arial"/>
          <w:sz w:val="20"/>
          <w:szCs w:val="20"/>
        </w:rPr>
      </w:pPr>
      <w:r w:rsidRPr="00B91012">
        <w:rPr>
          <w:rFonts w:ascii="Arial" w:hAnsi="Arial" w:cs="Arial"/>
          <w:color w:val="000000"/>
          <w:sz w:val="20"/>
          <w:szCs w:val="20"/>
        </w:rPr>
        <w:t>13</w:t>
      </w:r>
      <w:r w:rsidR="00B91012">
        <w:rPr>
          <w:rFonts w:ascii="Arial" w:hAnsi="Arial" w:cs="Arial"/>
          <w:color w:val="000000"/>
          <w:sz w:val="20"/>
          <w:szCs w:val="20"/>
        </w:rPr>
        <w:t>.</w:t>
      </w:r>
      <w:r w:rsidR="009C3FD0">
        <w:rPr>
          <w:rFonts w:ascii="Arial" w:hAnsi="Arial" w:cs="Arial"/>
          <w:color w:val="000000"/>
          <w:sz w:val="20"/>
          <w:szCs w:val="20"/>
        </w:rPr>
        <w:t xml:space="preserve"> </w:t>
      </w:r>
      <w:r w:rsidR="00712566" w:rsidRPr="00B91012">
        <w:rPr>
          <w:rFonts w:ascii="Arial" w:hAnsi="Arial" w:cs="Arial"/>
          <w:color w:val="000000"/>
          <w:sz w:val="20"/>
          <w:szCs w:val="20"/>
        </w:rPr>
        <w:t xml:space="preserve">The Supplier must appoint a Data Protection Officer responsible for observing its obligations in </w:t>
      </w:r>
      <w:r w:rsidRPr="00B91012">
        <w:rPr>
          <w:rFonts w:ascii="Arial" w:hAnsi="Arial" w:cs="Arial"/>
          <w:color w:val="000000"/>
          <w:sz w:val="20"/>
          <w:szCs w:val="20"/>
        </w:rPr>
        <w:t>this Schedule</w:t>
      </w:r>
      <w:r w:rsidR="00712566" w:rsidRPr="00B91012">
        <w:rPr>
          <w:rFonts w:ascii="Arial" w:hAnsi="Arial" w:cs="Arial"/>
          <w:color w:val="000000"/>
          <w:sz w:val="20"/>
          <w:szCs w:val="20"/>
        </w:rPr>
        <w:t xml:space="preserve"> and give CCS and each Buyer their contact details.</w:t>
      </w:r>
    </w:p>
    <w:p w14:paraId="0BF52F2B" w14:textId="77777777" w:rsidR="00712566" w:rsidRPr="00B91012" w:rsidRDefault="00712566" w:rsidP="00C871A9">
      <w:pPr>
        <w:jc w:val="both"/>
        <w:rPr>
          <w:rFonts w:ascii="Arial" w:hAnsi="Arial" w:cs="Arial"/>
          <w:sz w:val="20"/>
          <w:szCs w:val="20"/>
        </w:rPr>
      </w:pPr>
    </w:p>
    <w:p w14:paraId="581F4EA6" w14:textId="092E8758" w:rsidR="00712566" w:rsidRPr="00B91012" w:rsidRDefault="009C3FD0" w:rsidP="00C871A9">
      <w:pPr>
        <w:pStyle w:val="NormalWeb"/>
        <w:spacing w:before="20" w:beforeAutospacing="0" w:after="20" w:afterAutospacing="0"/>
        <w:jc w:val="both"/>
        <w:rPr>
          <w:rFonts w:ascii="Arial" w:hAnsi="Arial" w:cs="Arial"/>
          <w:sz w:val="20"/>
          <w:szCs w:val="20"/>
        </w:rPr>
      </w:pPr>
      <w:r>
        <w:rPr>
          <w:rFonts w:ascii="Arial" w:hAnsi="Arial" w:cs="Arial"/>
          <w:color w:val="000000"/>
          <w:sz w:val="20"/>
          <w:szCs w:val="20"/>
        </w:rPr>
        <w:t>14</w:t>
      </w:r>
      <w:r w:rsidR="00B91012">
        <w:rPr>
          <w:rFonts w:ascii="Arial" w:hAnsi="Arial" w:cs="Arial"/>
          <w:color w:val="000000"/>
          <w:sz w:val="20"/>
          <w:szCs w:val="20"/>
        </w:rPr>
        <w:t xml:space="preserve">. </w:t>
      </w:r>
      <w:r w:rsidR="00712566" w:rsidRPr="00B91012">
        <w:rPr>
          <w:rFonts w:ascii="Arial" w:hAnsi="Arial" w:cs="Arial"/>
          <w:color w:val="000000"/>
          <w:sz w:val="20"/>
          <w:szCs w:val="20"/>
        </w:rPr>
        <w:t xml:space="preserve">Before allowing any </w:t>
      </w:r>
      <w:r w:rsidR="007310B9" w:rsidRPr="00B91012">
        <w:rPr>
          <w:rFonts w:ascii="Arial" w:hAnsi="Arial" w:cs="Arial"/>
          <w:color w:val="000000"/>
          <w:sz w:val="20"/>
          <w:szCs w:val="20"/>
        </w:rPr>
        <w:t>Sub processor</w:t>
      </w:r>
      <w:r w:rsidR="00712566" w:rsidRPr="00B91012">
        <w:rPr>
          <w:rFonts w:ascii="Arial" w:hAnsi="Arial" w:cs="Arial"/>
          <w:color w:val="000000"/>
          <w:sz w:val="20"/>
          <w:szCs w:val="20"/>
        </w:rPr>
        <w:t xml:space="preserve"> to process any Personal Data, the Supplier must:</w:t>
      </w:r>
    </w:p>
    <w:p w14:paraId="441921D4" w14:textId="77777777" w:rsidR="00712566" w:rsidRPr="00B91012" w:rsidRDefault="00712566" w:rsidP="00C871A9">
      <w:pPr>
        <w:jc w:val="both"/>
        <w:rPr>
          <w:rFonts w:ascii="Arial" w:hAnsi="Arial" w:cs="Arial"/>
          <w:sz w:val="20"/>
          <w:szCs w:val="20"/>
        </w:rPr>
      </w:pPr>
    </w:p>
    <w:p w14:paraId="13338E98" w14:textId="4734F7B2" w:rsidR="00712566" w:rsidRPr="00B91012" w:rsidRDefault="00712566" w:rsidP="00C871A9">
      <w:pPr>
        <w:pStyle w:val="NormalWeb"/>
        <w:numPr>
          <w:ilvl w:val="0"/>
          <w:numId w:val="7"/>
        </w:numPr>
        <w:spacing w:before="2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 xml:space="preserve">notify the Relevant Authority in writing of the intended </w:t>
      </w:r>
      <w:r w:rsidR="007310B9" w:rsidRPr="00B91012">
        <w:rPr>
          <w:rFonts w:ascii="Arial" w:hAnsi="Arial" w:cs="Arial"/>
          <w:color w:val="000000"/>
          <w:sz w:val="20"/>
          <w:szCs w:val="20"/>
        </w:rPr>
        <w:t>Sub processor</w:t>
      </w:r>
      <w:r w:rsidRPr="00B91012">
        <w:rPr>
          <w:rFonts w:ascii="Arial" w:hAnsi="Arial" w:cs="Arial"/>
          <w:color w:val="000000"/>
          <w:sz w:val="20"/>
          <w:szCs w:val="20"/>
        </w:rPr>
        <w:t xml:space="preserve"> and processing</w:t>
      </w:r>
    </w:p>
    <w:p w14:paraId="3BF2291F" w14:textId="77777777" w:rsidR="00712566" w:rsidRPr="00B91012" w:rsidRDefault="00712566" w:rsidP="00C871A9">
      <w:pPr>
        <w:pStyle w:val="NormalWeb"/>
        <w:numPr>
          <w:ilvl w:val="0"/>
          <w:numId w:val="7"/>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obtain the written consent of the Relevant Authority</w:t>
      </w:r>
    </w:p>
    <w:p w14:paraId="5420642D" w14:textId="3665046B" w:rsidR="00712566" w:rsidRPr="00B91012" w:rsidRDefault="00712566" w:rsidP="00C871A9">
      <w:pPr>
        <w:pStyle w:val="NormalWeb"/>
        <w:numPr>
          <w:ilvl w:val="0"/>
          <w:numId w:val="7"/>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lastRenderedPageBreak/>
        <w:t xml:space="preserve">enter into a written contract with the </w:t>
      </w:r>
      <w:r w:rsidR="007310B9" w:rsidRPr="00B91012">
        <w:rPr>
          <w:rFonts w:ascii="Arial" w:hAnsi="Arial" w:cs="Arial"/>
          <w:color w:val="000000"/>
          <w:sz w:val="20"/>
          <w:szCs w:val="20"/>
        </w:rPr>
        <w:t>Sub processor</w:t>
      </w:r>
      <w:r w:rsidRPr="00B91012">
        <w:rPr>
          <w:rFonts w:ascii="Arial" w:hAnsi="Arial" w:cs="Arial"/>
          <w:color w:val="000000"/>
          <w:sz w:val="20"/>
          <w:szCs w:val="20"/>
        </w:rPr>
        <w:t xml:space="preserve"> so that this </w:t>
      </w:r>
      <w:r w:rsidR="00A469A3" w:rsidRPr="00B91012">
        <w:rPr>
          <w:rFonts w:ascii="Arial" w:hAnsi="Arial" w:cs="Arial"/>
          <w:color w:val="000000"/>
          <w:sz w:val="20"/>
          <w:szCs w:val="20"/>
        </w:rPr>
        <w:t>Schedule</w:t>
      </w:r>
      <w:r w:rsidRPr="00B91012">
        <w:rPr>
          <w:rFonts w:ascii="Arial" w:hAnsi="Arial" w:cs="Arial"/>
          <w:color w:val="000000"/>
          <w:sz w:val="20"/>
          <w:szCs w:val="20"/>
        </w:rPr>
        <w:t xml:space="preserve"> applies to the </w:t>
      </w:r>
      <w:r w:rsidR="007310B9" w:rsidRPr="00B91012">
        <w:rPr>
          <w:rFonts w:ascii="Arial" w:hAnsi="Arial" w:cs="Arial"/>
          <w:color w:val="000000"/>
          <w:sz w:val="20"/>
          <w:szCs w:val="20"/>
        </w:rPr>
        <w:t>Sub processor</w:t>
      </w:r>
    </w:p>
    <w:p w14:paraId="79AFEAFC" w14:textId="625CA763" w:rsidR="00712566" w:rsidRPr="00B91012" w:rsidRDefault="00712566" w:rsidP="00C871A9">
      <w:pPr>
        <w:pStyle w:val="NormalWeb"/>
        <w:numPr>
          <w:ilvl w:val="0"/>
          <w:numId w:val="7"/>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 xml:space="preserve">provide the Relevant Authority with any information about the </w:t>
      </w:r>
      <w:r w:rsidR="007310B9" w:rsidRPr="00B91012">
        <w:rPr>
          <w:rFonts w:ascii="Arial" w:hAnsi="Arial" w:cs="Arial"/>
          <w:color w:val="000000"/>
          <w:sz w:val="20"/>
          <w:szCs w:val="20"/>
        </w:rPr>
        <w:t>Sub processor</w:t>
      </w:r>
      <w:r w:rsidRPr="00B91012">
        <w:rPr>
          <w:rFonts w:ascii="Arial" w:hAnsi="Arial" w:cs="Arial"/>
          <w:color w:val="000000"/>
          <w:sz w:val="20"/>
          <w:szCs w:val="20"/>
        </w:rPr>
        <w:t xml:space="preserve"> that the Relevant Authority reasonably requires</w:t>
      </w:r>
    </w:p>
    <w:p w14:paraId="6CD6C12D" w14:textId="77777777" w:rsidR="00712566" w:rsidRPr="00B91012" w:rsidRDefault="00712566" w:rsidP="00C871A9">
      <w:pPr>
        <w:jc w:val="both"/>
        <w:rPr>
          <w:rFonts w:ascii="Arial" w:hAnsi="Arial" w:cs="Arial"/>
          <w:sz w:val="20"/>
          <w:szCs w:val="20"/>
        </w:rPr>
      </w:pPr>
    </w:p>
    <w:p w14:paraId="05BDD077" w14:textId="5DD83BEB" w:rsidR="00712566" w:rsidRPr="00B91012" w:rsidRDefault="006C16B3" w:rsidP="00C871A9">
      <w:pPr>
        <w:pStyle w:val="NormalWeb"/>
        <w:spacing w:before="20" w:beforeAutospacing="0" w:after="20" w:afterAutospacing="0"/>
        <w:jc w:val="both"/>
        <w:rPr>
          <w:rFonts w:ascii="Arial" w:hAnsi="Arial" w:cs="Arial"/>
          <w:sz w:val="20"/>
          <w:szCs w:val="20"/>
        </w:rPr>
      </w:pPr>
      <w:r>
        <w:rPr>
          <w:rFonts w:ascii="Arial" w:hAnsi="Arial" w:cs="Arial"/>
          <w:color w:val="000000"/>
          <w:sz w:val="20"/>
          <w:szCs w:val="20"/>
        </w:rPr>
        <w:t>15</w:t>
      </w:r>
      <w:r w:rsidR="00712566" w:rsidRPr="00B91012">
        <w:rPr>
          <w:rFonts w:ascii="Arial" w:hAnsi="Arial" w:cs="Arial"/>
          <w:color w:val="000000"/>
          <w:sz w:val="20"/>
          <w:szCs w:val="20"/>
        </w:rPr>
        <w:t>.</w:t>
      </w:r>
      <w:r w:rsidR="00B91012">
        <w:rPr>
          <w:rStyle w:val="gmail-apple-tab-span"/>
          <w:rFonts w:ascii="Arial" w:hAnsi="Arial" w:cs="Arial"/>
          <w:color w:val="000000"/>
          <w:sz w:val="20"/>
          <w:szCs w:val="20"/>
        </w:rPr>
        <w:t xml:space="preserve"> </w:t>
      </w:r>
      <w:r w:rsidR="00712566" w:rsidRPr="00B91012">
        <w:rPr>
          <w:rFonts w:ascii="Arial" w:hAnsi="Arial" w:cs="Arial"/>
          <w:color w:val="000000"/>
          <w:sz w:val="20"/>
          <w:szCs w:val="20"/>
        </w:rPr>
        <w:t xml:space="preserve">The Supplier remains fully liable for all acts or omissions of any </w:t>
      </w:r>
      <w:r w:rsidR="007310B9" w:rsidRPr="00B91012">
        <w:rPr>
          <w:rFonts w:ascii="Arial" w:hAnsi="Arial" w:cs="Arial"/>
          <w:color w:val="000000"/>
          <w:sz w:val="20"/>
          <w:szCs w:val="20"/>
        </w:rPr>
        <w:t>Sub processor</w:t>
      </w:r>
      <w:r w:rsidR="00712566" w:rsidRPr="00B91012">
        <w:rPr>
          <w:rFonts w:ascii="Arial" w:hAnsi="Arial" w:cs="Arial"/>
          <w:color w:val="000000"/>
          <w:sz w:val="20"/>
          <w:szCs w:val="20"/>
        </w:rPr>
        <w:t>.</w:t>
      </w:r>
    </w:p>
    <w:p w14:paraId="5DF3151C" w14:textId="77777777" w:rsidR="00712566" w:rsidRPr="00B91012" w:rsidRDefault="00712566" w:rsidP="00C871A9">
      <w:pPr>
        <w:jc w:val="both"/>
        <w:rPr>
          <w:rFonts w:ascii="Arial" w:hAnsi="Arial" w:cs="Arial"/>
          <w:sz w:val="20"/>
          <w:szCs w:val="20"/>
        </w:rPr>
      </w:pPr>
    </w:p>
    <w:p w14:paraId="517DAFA2" w14:textId="1CE9E807" w:rsidR="00712566" w:rsidRPr="00B91012" w:rsidRDefault="006C16B3" w:rsidP="00C871A9">
      <w:pPr>
        <w:pStyle w:val="NormalWeb"/>
        <w:spacing w:before="20" w:beforeAutospacing="0" w:after="20" w:afterAutospacing="0"/>
        <w:jc w:val="both"/>
        <w:rPr>
          <w:rFonts w:ascii="Arial" w:hAnsi="Arial" w:cs="Arial"/>
          <w:color w:val="000000"/>
          <w:sz w:val="20"/>
          <w:szCs w:val="20"/>
        </w:rPr>
      </w:pPr>
      <w:r>
        <w:rPr>
          <w:rFonts w:ascii="Arial" w:hAnsi="Arial" w:cs="Arial"/>
          <w:color w:val="000000"/>
          <w:sz w:val="20"/>
          <w:szCs w:val="20"/>
        </w:rPr>
        <w:t>16</w:t>
      </w:r>
      <w:r w:rsidR="00712566" w:rsidRPr="00B91012">
        <w:rPr>
          <w:rFonts w:ascii="Arial" w:hAnsi="Arial" w:cs="Arial"/>
          <w:color w:val="000000"/>
          <w:sz w:val="20"/>
          <w:szCs w:val="20"/>
        </w:rPr>
        <w:t>.</w:t>
      </w:r>
      <w:r w:rsidR="00B91012">
        <w:rPr>
          <w:rStyle w:val="gmail-apple-tab-span"/>
          <w:rFonts w:ascii="Arial" w:hAnsi="Arial" w:cs="Arial"/>
          <w:color w:val="000000"/>
          <w:sz w:val="20"/>
          <w:szCs w:val="20"/>
        </w:rPr>
        <w:t xml:space="preserve"> </w:t>
      </w:r>
      <w:r w:rsidR="00712566" w:rsidRPr="00B91012">
        <w:rPr>
          <w:rFonts w:ascii="Arial" w:hAnsi="Arial" w:cs="Arial"/>
          <w:color w:val="000000"/>
          <w:sz w:val="20"/>
          <w:szCs w:val="20"/>
        </w:rPr>
        <w:t xml:space="preserve">At any time the Relevant Authority </w:t>
      </w:r>
      <w:proofErr w:type="gramStart"/>
      <w:r w:rsidR="00712566" w:rsidRPr="00B91012">
        <w:rPr>
          <w:rFonts w:ascii="Arial" w:hAnsi="Arial" w:cs="Arial"/>
          <w:color w:val="000000"/>
          <w:sz w:val="20"/>
          <w:szCs w:val="20"/>
        </w:rPr>
        <w:t xml:space="preserve">can, with 30 Working </w:t>
      </w:r>
      <w:proofErr w:type="spellStart"/>
      <w:r w:rsidR="00712566" w:rsidRPr="00B91012">
        <w:rPr>
          <w:rFonts w:ascii="Arial" w:hAnsi="Arial" w:cs="Arial"/>
          <w:color w:val="000000"/>
          <w:sz w:val="20"/>
          <w:szCs w:val="20"/>
        </w:rPr>
        <w:t>Days notice</w:t>
      </w:r>
      <w:proofErr w:type="spellEnd"/>
      <w:r w:rsidR="00712566" w:rsidRPr="00B91012">
        <w:rPr>
          <w:rFonts w:ascii="Arial" w:hAnsi="Arial" w:cs="Arial"/>
          <w:color w:val="000000"/>
          <w:sz w:val="20"/>
          <w:szCs w:val="20"/>
        </w:rPr>
        <w:t xml:space="preserve"> to the Supplier, change</w:t>
      </w:r>
      <w:proofErr w:type="gramEnd"/>
      <w:r w:rsidR="00712566" w:rsidRPr="00B91012">
        <w:rPr>
          <w:rFonts w:ascii="Arial" w:hAnsi="Arial" w:cs="Arial"/>
          <w:color w:val="000000"/>
          <w:sz w:val="20"/>
          <w:szCs w:val="20"/>
        </w:rPr>
        <w:t xml:space="preserve"> </w:t>
      </w:r>
      <w:r w:rsidR="001E784D" w:rsidRPr="00B91012">
        <w:rPr>
          <w:rFonts w:ascii="Arial" w:hAnsi="Arial" w:cs="Arial"/>
          <w:color w:val="000000"/>
          <w:sz w:val="20"/>
          <w:szCs w:val="20"/>
        </w:rPr>
        <w:t>this Schedule</w:t>
      </w:r>
      <w:r w:rsidR="00712566" w:rsidRPr="00B91012">
        <w:rPr>
          <w:rFonts w:ascii="Arial" w:hAnsi="Arial" w:cs="Arial"/>
          <w:color w:val="000000"/>
          <w:sz w:val="20"/>
          <w:szCs w:val="20"/>
        </w:rPr>
        <w:t xml:space="preserve"> to:</w:t>
      </w:r>
    </w:p>
    <w:p w14:paraId="5DC7B93C" w14:textId="77777777" w:rsidR="00BA4E3B" w:rsidRPr="00B91012" w:rsidRDefault="00BA4E3B" w:rsidP="00C871A9">
      <w:pPr>
        <w:pStyle w:val="NormalWeb"/>
        <w:spacing w:before="20" w:beforeAutospacing="0" w:after="20" w:afterAutospacing="0"/>
        <w:jc w:val="both"/>
        <w:rPr>
          <w:rFonts w:ascii="Arial" w:hAnsi="Arial" w:cs="Arial"/>
          <w:sz w:val="20"/>
          <w:szCs w:val="20"/>
        </w:rPr>
      </w:pPr>
    </w:p>
    <w:p w14:paraId="521A1567" w14:textId="7DF63119" w:rsidR="00712566" w:rsidRPr="00B91012" w:rsidRDefault="00712566" w:rsidP="00C871A9">
      <w:pPr>
        <w:pStyle w:val="NormalWeb"/>
        <w:numPr>
          <w:ilvl w:val="0"/>
          <w:numId w:val="8"/>
        </w:numPr>
        <w:spacing w:before="2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 xml:space="preserve">replace it with any applicable standard clauses </w:t>
      </w:r>
      <w:r w:rsidR="006C16B3">
        <w:rPr>
          <w:rFonts w:ascii="Arial" w:hAnsi="Arial" w:cs="Arial"/>
          <w:color w:val="000000"/>
          <w:sz w:val="20"/>
          <w:szCs w:val="20"/>
        </w:rPr>
        <w:t>(between the controller and</w:t>
      </w:r>
      <w:r w:rsidR="006C16B3" w:rsidRPr="00B91012">
        <w:rPr>
          <w:rFonts w:ascii="Arial" w:hAnsi="Arial" w:cs="Arial"/>
          <w:color w:val="000000"/>
          <w:sz w:val="20"/>
          <w:szCs w:val="20"/>
        </w:rPr>
        <w:t xml:space="preserve"> processo</w:t>
      </w:r>
      <w:r w:rsidR="006C16B3">
        <w:rPr>
          <w:rFonts w:ascii="Arial" w:hAnsi="Arial" w:cs="Arial"/>
          <w:color w:val="000000"/>
          <w:sz w:val="20"/>
          <w:szCs w:val="20"/>
        </w:rPr>
        <w:t>r</w:t>
      </w:r>
      <w:bookmarkStart w:id="1" w:name="LASTCURSORPOSITION"/>
      <w:bookmarkEnd w:id="1"/>
      <w:r w:rsidR="006C16B3">
        <w:rPr>
          <w:rFonts w:ascii="Arial" w:hAnsi="Arial" w:cs="Arial"/>
          <w:color w:val="000000"/>
          <w:sz w:val="20"/>
          <w:szCs w:val="20"/>
        </w:rPr>
        <w:t>)</w:t>
      </w:r>
      <w:r w:rsidR="006C16B3" w:rsidRPr="00B91012">
        <w:rPr>
          <w:rFonts w:ascii="Arial" w:hAnsi="Arial" w:cs="Arial"/>
          <w:color w:val="000000"/>
          <w:sz w:val="20"/>
          <w:szCs w:val="20"/>
        </w:rPr>
        <w:t xml:space="preserve"> </w:t>
      </w:r>
      <w:r w:rsidRPr="00B91012">
        <w:rPr>
          <w:rFonts w:ascii="Arial" w:hAnsi="Arial" w:cs="Arial"/>
          <w:color w:val="000000"/>
          <w:sz w:val="20"/>
          <w:szCs w:val="20"/>
        </w:rPr>
        <w:t>or similar terms forming part of an applicable certification scheme under GDPR Article 42</w:t>
      </w:r>
    </w:p>
    <w:p w14:paraId="4DB3EBC1" w14:textId="77777777" w:rsidR="00712566" w:rsidRPr="00B91012" w:rsidRDefault="00712566" w:rsidP="00C871A9">
      <w:pPr>
        <w:pStyle w:val="NormalWeb"/>
        <w:numPr>
          <w:ilvl w:val="0"/>
          <w:numId w:val="8"/>
        </w:numPr>
        <w:spacing w:before="0" w:beforeAutospacing="0" w:after="0" w:afterAutospacing="0"/>
        <w:ind w:left="1800"/>
        <w:jc w:val="both"/>
        <w:textAlignment w:val="baseline"/>
        <w:rPr>
          <w:rFonts w:ascii="Arial" w:hAnsi="Arial" w:cs="Arial"/>
          <w:color w:val="000000"/>
          <w:sz w:val="20"/>
          <w:szCs w:val="20"/>
        </w:rPr>
      </w:pPr>
      <w:r w:rsidRPr="00B91012">
        <w:rPr>
          <w:rFonts w:ascii="Arial" w:hAnsi="Arial" w:cs="Arial"/>
          <w:color w:val="000000"/>
          <w:sz w:val="20"/>
          <w:szCs w:val="20"/>
        </w:rPr>
        <w:t>ensure it complies with guidance issued by the Information Commissioner’s Office</w:t>
      </w:r>
    </w:p>
    <w:p w14:paraId="0A683511" w14:textId="77777777" w:rsidR="00712566" w:rsidRPr="00B91012" w:rsidRDefault="00712566" w:rsidP="00C871A9">
      <w:pPr>
        <w:jc w:val="both"/>
        <w:rPr>
          <w:rFonts w:ascii="Arial" w:hAnsi="Arial" w:cs="Arial"/>
          <w:sz w:val="20"/>
          <w:szCs w:val="20"/>
        </w:rPr>
      </w:pPr>
    </w:p>
    <w:p w14:paraId="5AC87A82" w14:textId="7B32BEA2" w:rsidR="00A469A3" w:rsidRPr="00B91012" w:rsidRDefault="006C16B3" w:rsidP="00C871A9">
      <w:pPr>
        <w:pStyle w:val="NormalWeb"/>
        <w:spacing w:before="20" w:beforeAutospacing="0" w:after="20" w:afterAutospacing="0"/>
        <w:jc w:val="both"/>
        <w:rPr>
          <w:rFonts w:ascii="Arial" w:hAnsi="Arial" w:cs="Arial"/>
          <w:color w:val="000000"/>
          <w:sz w:val="20"/>
          <w:szCs w:val="20"/>
        </w:rPr>
      </w:pPr>
      <w:r>
        <w:rPr>
          <w:rFonts w:ascii="Arial" w:hAnsi="Arial" w:cs="Arial"/>
          <w:color w:val="000000"/>
          <w:sz w:val="20"/>
          <w:szCs w:val="20"/>
        </w:rPr>
        <w:t>17</w:t>
      </w:r>
      <w:r w:rsidR="00712566" w:rsidRPr="00B91012">
        <w:rPr>
          <w:rFonts w:ascii="Arial" w:hAnsi="Arial" w:cs="Arial"/>
          <w:color w:val="000000"/>
          <w:sz w:val="20"/>
          <w:szCs w:val="20"/>
        </w:rPr>
        <w:t>.</w:t>
      </w:r>
      <w:r>
        <w:rPr>
          <w:rStyle w:val="gmail-apple-tab-span"/>
          <w:rFonts w:ascii="Arial" w:hAnsi="Arial" w:cs="Arial"/>
          <w:color w:val="000000"/>
          <w:sz w:val="20"/>
          <w:szCs w:val="20"/>
        </w:rPr>
        <w:t xml:space="preserve">  </w:t>
      </w:r>
      <w:r w:rsidR="00712566" w:rsidRPr="00B91012">
        <w:rPr>
          <w:rFonts w:ascii="Arial" w:hAnsi="Arial" w:cs="Arial"/>
          <w:color w:val="000000"/>
          <w:sz w:val="20"/>
          <w:szCs w:val="20"/>
        </w:rPr>
        <w:t>The Parties agree to take account of any non-mandatory guidance issued by the Information Commissioner’s Office.</w:t>
      </w:r>
    </w:p>
    <w:p w14:paraId="5810A2F2" w14:textId="77777777" w:rsidR="00712566" w:rsidRPr="00B91012" w:rsidRDefault="00712566" w:rsidP="00C871A9">
      <w:pPr>
        <w:jc w:val="both"/>
        <w:rPr>
          <w:rFonts w:ascii="Arial" w:hAnsi="Arial" w:cs="Arial"/>
          <w:color w:val="000000"/>
          <w:sz w:val="20"/>
          <w:szCs w:val="20"/>
          <w:lang w:eastAsia="en-GB"/>
        </w:rPr>
      </w:pPr>
    </w:p>
    <w:p w14:paraId="1147EFF7" w14:textId="77777777" w:rsidR="00651F75" w:rsidRPr="00B91012" w:rsidRDefault="00651F75" w:rsidP="00C871A9">
      <w:pPr>
        <w:pStyle w:val="GPSSchTitleandNumber"/>
        <w:jc w:val="both"/>
        <w:rPr>
          <w:rFonts w:ascii="Arial" w:hAnsi="Arial" w:cs="Arial"/>
          <w:sz w:val="20"/>
          <w:szCs w:val="20"/>
        </w:rPr>
      </w:pPr>
    </w:p>
    <w:p w14:paraId="0FCD863D" w14:textId="77777777" w:rsidR="00AB5E23" w:rsidRPr="00B91012" w:rsidRDefault="00AB5E23" w:rsidP="00C871A9">
      <w:pPr>
        <w:jc w:val="both"/>
        <w:rPr>
          <w:rFonts w:ascii="Arial" w:eastAsia="STZhongsong" w:hAnsi="Arial" w:cs="Arial"/>
          <w:b/>
          <w:caps/>
          <w:sz w:val="20"/>
          <w:szCs w:val="20"/>
          <w:lang w:eastAsia="zh-CN"/>
        </w:rPr>
      </w:pPr>
      <w:r w:rsidRPr="00B91012">
        <w:rPr>
          <w:rFonts w:ascii="Arial" w:hAnsi="Arial" w:cs="Arial"/>
          <w:sz w:val="20"/>
          <w:szCs w:val="20"/>
        </w:rPr>
        <w:br w:type="page"/>
      </w:r>
    </w:p>
    <w:p w14:paraId="5AA38BC7" w14:textId="77777777" w:rsidR="00651F75" w:rsidRDefault="00651F75">
      <w:pPr>
        <w:pStyle w:val="GPSSchTitleandNumber"/>
        <w:rPr>
          <w:rFonts w:asciiTheme="minorHAnsi" w:hAnsiTheme="minorHAnsi"/>
        </w:rPr>
      </w:pPr>
      <w:r>
        <w:rPr>
          <w:rFonts w:asciiTheme="minorHAnsi" w:hAnsiTheme="minorHAnsi"/>
        </w:rPr>
        <w:lastRenderedPageBreak/>
        <w:t xml:space="preserve">ANNEX </w:t>
      </w:r>
      <w:proofErr w:type="gramStart"/>
      <w:r>
        <w:rPr>
          <w:rFonts w:asciiTheme="minorHAnsi" w:hAnsiTheme="minorHAnsi"/>
        </w:rPr>
        <w:t>1</w:t>
      </w:r>
      <w:proofErr w:type="gramEnd"/>
      <w:r>
        <w:rPr>
          <w:rFonts w:asciiTheme="minorHAnsi" w:hAnsiTheme="minorHAnsi"/>
        </w:rPr>
        <w:t xml:space="preserve"> </w:t>
      </w:r>
    </w:p>
    <w:p w14:paraId="4F364548" w14:textId="77777777" w:rsidR="002771AA" w:rsidRPr="00EC783E" w:rsidRDefault="0052113C" w:rsidP="0052113C">
      <w:pPr>
        <w:pStyle w:val="GPSSchTitleandNumber"/>
        <w:jc w:val="left"/>
        <w:rPr>
          <w:rFonts w:asciiTheme="minorHAnsi" w:hAnsiTheme="minorHAnsi"/>
        </w:rPr>
      </w:pPr>
      <w:r w:rsidRPr="00EC783E">
        <w:rPr>
          <w:rFonts w:asciiTheme="minorHAnsi" w:hAnsiTheme="minorHAnsi"/>
        </w:rPr>
        <w:tab/>
      </w:r>
      <w:r w:rsidRPr="00EC783E">
        <w:rPr>
          <w:rFonts w:asciiTheme="minorHAnsi" w:hAnsiTheme="minorHAnsi"/>
        </w:rPr>
        <w:tab/>
      </w:r>
      <w:r w:rsidRPr="00EC783E">
        <w:rPr>
          <w:rFonts w:asciiTheme="minorHAnsi" w:hAnsiTheme="minorHAnsi"/>
        </w:rPr>
        <w:tab/>
      </w:r>
      <w:r w:rsidRPr="00EC783E">
        <w:rPr>
          <w:rFonts w:asciiTheme="minorHAnsi" w:hAnsiTheme="minorHAnsi"/>
        </w:rPr>
        <w:tab/>
        <w:t xml:space="preserve">      </w:t>
      </w:r>
      <w:r w:rsidR="00651F75" w:rsidRPr="00EC783E">
        <w:rPr>
          <w:rFonts w:asciiTheme="minorHAnsi" w:hAnsiTheme="minorHAnsi"/>
        </w:rPr>
        <w:t>AUTHORISED PROCESSING</w:t>
      </w:r>
      <w:bookmarkStart w:id="2" w:name="bmCompoundReference"/>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5934"/>
      </w:tblGrid>
      <w:tr w:rsidR="00FA1952" w:rsidRPr="00EC783E" w14:paraId="57FDFA2E" w14:textId="77777777" w:rsidTr="00FA1952">
        <w:trPr>
          <w:trHeight w:val="716"/>
        </w:trPr>
        <w:tc>
          <w:tcPr>
            <w:tcW w:w="3082" w:type="dxa"/>
            <w:shd w:val="clear" w:color="auto" w:fill="BFBFBF"/>
            <w:vAlign w:val="center"/>
          </w:tcPr>
          <w:p w14:paraId="700CBBE3" w14:textId="1C881FD4" w:rsidR="00FA1952" w:rsidRPr="00FA1952" w:rsidRDefault="00FA1952" w:rsidP="00FA1952">
            <w:pPr>
              <w:rPr>
                <w:rFonts w:cs="Arial"/>
                <w:b/>
              </w:rPr>
            </w:pPr>
            <w:r w:rsidRPr="00BA7BDE">
              <w:rPr>
                <w:b/>
              </w:rPr>
              <w:t>Call-Off</w:t>
            </w:r>
            <w:r w:rsidRPr="00FA1952">
              <w:rPr>
                <w:b/>
              </w:rPr>
              <w:t xml:space="preserve"> Contract:</w:t>
            </w:r>
          </w:p>
        </w:tc>
        <w:tc>
          <w:tcPr>
            <w:tcW w:w="5934" w:type="dxa"/>
            <w:shd w:val="clear" w:color="auto" w:fill="BFBFBF"/>
            <w:vAlign w:val="center"/>
          </w:tcPr>
          <w:p w14:paraId="3390E069" w14:textId="2D39C9BB" w:rsidR="00FA1952" w:rsidRPr="00FA1952" w:rsidRDefault="00FA1952">
            <w:pPr>
              <w:jc w:val="center"/>
              <w:rPr>
                <w:rFonts w:cs="Arial"/>
                <w:b/>
              </w:rPr>
            </w:pPr>
            <w:r w:rsidRPr="00BA7BDE">
              <w:rPr>
                <w:b/>
              </w:rPr>
              <w:t>RM</w:t>
            </w:r>
            <w:r w:rsidRPr="00FA1952">
              <w:rPr>
                <w:b/>
              </w:rPr>
              <w:t>3830</w:t>
            </w:r>
          </w:p>
        </w:tc>
      </w:tr>
      <w:tr w:rsidR="00000571" w:rsidRPr="00EC783E" w14:paraId="3DB574E1" w14:textId="77777777" w:rsidTr="00FA1952">
        <w:trPr>
          <w:trHeight w:val="716"/>
        </w:trPr>
        <w:tc>
          <w:tcPr>
            <w:tcW w:w="3082" w:type="dxa"/>
            <w:shd w:val="clear" w:color="auto" w:fill="BFBFBF"/>
            <w:vAlign w:val="center"/>
          </w:tcPr>
          <w:p w14:paraId="45738EFA" w14:textId="77777777" w:rsidR="00000571" w:rsidRPr="00EC783E" w:rsidRDefault="00000571" w:rsidP="0052113C">
            <w:pPr>
              <w:rPr>
                <w:rFonts w:cs="Arial"/>
                <w:b/>
              </w:rPr>
            </w:pPr>
            <w:r w:rsidRPr="00EC783E">
              <w:rPr>
                <w:rFonts w:cs="Arial"/>
                <w:b/>
              </w:rPr>
              <w:t xml:space="preserve">Date: </w:t>
            </w:r>
          </w:p>
        </w:tc>
        <w:tc>
          <w:tcPr>
            <w:tcW w:w="5934" w:type="dxa"/>
            <w:shd w:val="clear" w:color="auto" w:fill="BFBFBF"/>
            <w:vAlign w:val="center"/>
          </w:tcPr>
          <w:p w14:paraId="7D40E59B" w14:textId="77777777" w:rsidR="00000571" w:rsidRPr="00EC783E" w:rsidRDefault="00000571" w:rsidP="00FE00B7">
            <w:pPr>
              <w:jc w:val="center"/>
              <w:rPr>
                <w:rFonts w:cs="Arial"/>
                <w:b/>
                <w:highlight w:val="yellow"/>
              </w:rPr>
            </w:pPr>
          </w:p>
        </w:tc>
      </w:tr>
      <w:tr w:rsidR="002771AA" w:rsidRPr="00EC783E" w14:paraId="23F2D6A8" w14:textId="77777777" w:rsidTr="00FA1952">
        <w:trPr>
          <w:trHeight w:val="716"/>
        </w:trPr>
        <w:tc>
          <w:tcPr>
            <w:tcW w:w="3082" w:type="dxa"/>
            <w:shd w:val="clear" w:color="auto" w:fill="BFBFBF"/>
            <w:vAlign w:val="center"/>
          </w:tcPr>
          <w:p w14:paraId="7551A218" w14:textId="77777777" w:rsidR="002771AA" w:rsidRPr="00EC783E" w:rsidRDefault="002771AA" w:rsidP="0052113C">
            <w:pPr>
              <w:rPr>
                <w:rFonts w:cs="Arial"/>
                <w:b/>
              </w:rPr>
            </w:pPr>
            <w:r w:rsidRPr="00EC783E">
              <w:rPr>
                <w:rFonts w:cs="Arial"/>
                <w:b/>
              </w:rPr>
              <w:t>Description</w:t>
            </w:r>
            <w:r w:rsidR="00EC783E">
              <w:rPr>
                <w:rFonts w:cs="Arial"/>
                <w:b/>
              </w:rPr>
              <w:t xml:space="preserve"> Of Authorised Processing</w:t>
            </w:r>
          </w:p>
        </w:tc>
        <w:tc>
          <w:tcPr>
            <w:tcW w:w="5934" w:type="dxa"/>
            <w:shd w:val="clear" w:color="auto" w:fill="BFBFBF"/>
            <w:vAlign w:val="center"/>
          </w:tcPr>
          <w:p w14:paraId="57C46210" w14:textId="77777777" w:rsidR="002771AA" w:rsidRPr="00EC783E" w:rsidRDefault="002771AA" w:rsidP="00FE00B7">
            <w:pPr>
              <w:jc w:val="center"/>
              <w:rPr>
                <w:rFonts w:cs="Arial"/>
                <w:b/>
              </w:rPr>
            </w:pPr>
            <w:r w:rsidRPr="00EC783E">
              <w:rPr>
                <w:rFonts w:cs="Arial"/>
                <w:b/>
              </w:rPr>
              <w:t>Details</w:t>
            </w:r>
          </w:p>
        </w:tc>
      </w:tr>
      <w:tr w:rsidR="002771AA" w:rsidRPr="00EC783E" w14:paraId="78AE6BC0" w14:textId="77777777" w:rsidTr="00FA1952">
        <w:trPr>
          <w:trHeight w:val="1630"/>
        </w:trPr>
        <w:tc>
          <w:tcPr>
            <w:tcW w:w="3082" w:type="dxa"/>
            <w:shd w:val="clear" w:color="auto" w:fill="auto"/>
          </w:tcPr>
          <w:p w14:paraId="3621B284" w14:textId="77777777" w:rsidR="002771AA" w:rsidRPr="00EC783E" w:rsidRDefault="002771AA" w:rsidP="00FE00B7">
            <w:pPr>
              <w:rPr>
                <w:rFonts w:cs="Arial"/>
              </w:rPr>
            </w:pPr>
            <w:r w:rsidRPr="00EC783E">
              <w:rPr>
                <w:rFonts w:cs="Arial"/>
              </w:rPr>
              <w:t>Subject matter of the processing</w:t>
            </w:r>
          </w:p>
        </w:tc>
        <w:tc>
          <w:tcPr>
            <w:tcW w:w="5934" w:type="dxa"/>
            <w:shd w:val="clear" w:color="auto" w:fill="auto"/>
          </w:tcPr>
          <w:p w14:paraId="45CA305E" w14:textId="77777777" w:rsidR="002771AA" w:rsidRPr="00EC783E" w:rsidRDefault="002771AA" w:rsidP="00FE00B7">
            <w:pPr>
              <w:rPr>
                <w:rFonts w:cs="Arial"/>
              </w:rPr>
            </w:pPr>
          </w:p>
        </w:tc>
      </w:tr>
      <w:tr w:rsidR="002771AA" w:rsidRPr="00EC783E" w14:paraId="6BE9D33F" w14:textId="77777777" w:rsidTr="00FA1952">
        <w:trPr>
          <w:trHeight w:val="1462"/>
        </w:trPr>
        <w:tc>
          <w:tcPr>
            <w:tcW w:w="3082" w:type="dxa"/>
            <w:shd w:val="clear" w:color="auto" w:fill="auto"/>
          </w:tcPr>
          <w:p w14:paraId="56688A47" w14:textId="77777777" w:rsidR="002771AA" w:rsidRPr="00EC783E" w:rsidRDefault="002771AA" w:rsidP="00FE00B7">
            <w:pPr>
              <w:rPr>
                <w:rFonts w:cs="Arial"/>
              </w:rPr>
            </w:pPr>
            <w:r w:rsidRPr="00EC783E">
              <w:rPr>
                <w:rFonts w:cs="Arial"/>
              </w:rPr>
              <w:t>Duration of the processing</w:t>
            </w:r>
          </w:p>
        </w:tc>
        <w:tc>
          <w:tcPr>
            <w:tcW w:w="5934" w:type="dxa"/>
            <w:shd w:val="clear" w:color="auto" w:fill="auto"/>
          </w:tcPr>
          <w:p w14:paraId="038DA46E" w14:textId="77777777" w:rsidR="002771AA" w:rsidRPr="00EC783E" w:rsidRDefault="002771AA" w:rsidP="00FE00B7">
            <w:pPr>
              <w:rPr>
                <w:rFonts w:cs="Arial"/>
              </w:rPr>
            </w:pPr>
          </w:p>
        </w:tc>
      </w:tr>
      <w:tr w:rsidR="002771AA" w:rsidRPr="00EC783E" w14:paraId="1FA68772" w14:textId="77777777" w:rsidTr="00FA1952">
        <w:trPr>
          <w:trHeight w:val="1536"/>
        </w:trPr>
        <w:tc>
          <w:tcPr>
            <w:tcW w:w="3082" w:type="dxa"/>
            <w:shd w:val="clear" w:color="auto" w:fill="auto"/>
          </w:tcPr>
          <w:p w14:paraId="0459F613" w14:textId="77777777" w:rsidR="002771AA" w:rsidRPr="00EC783E" w:rsidRDefault="002771AA" w:rsidP="00FE00B7">
            <w:pPr>
              <w:rPr>
                <w:rFonts w:cs="Arial"/>
              </w:rPr>
            </w:pPr>
            <w:r w:rsidRPr="00EC783E">
              <w:rPr>
                <w:rFonts w:cs="Arial"/>
              </w:rPr>
              <w:t>Nature and purposes of the processing</w:t>
            </w:r>
          </w:p>
        </w:tc>
        <w:tc>
          <w:tcPr>
            <w:tcW w:w="5934" w:type="dxa"/>
            <w:shd w:val="clear" w:color="auto" w:fill="auto"/>
          </w:tcPr>
          <w:p w14:paraId="0A41F6D2" w14:textId="77777777" w:rsidR="002771AA" w:rsidRPr="00EC783E" w:rsidRDefault="002771AA" w:rsidP="00FE00B7">
            <w:pPr>
              <w:rPr>
                <w:rFonts w:cs="Arial"/>
              </w:rPr>
            </w:pPr>
          </w:p>
        </w:tc>
      </w:tr>
      <w:tr w:rsidR="002771AA" w:rsidRPr="00EC783E" w14:paraId="665D5624" w14:textId="77777777" w:rsidTr="00FA1952">
        <w:trPr>
          <w:trHeight w:val="1412"/>
        </w:trPr>
        <w:tc>
          <w:tcPr>
            <w:tcW w:w="3082" w:type="dxa"/>
            <w:shd w:val="clear" w:color="auto" w:fill="auto"/>
          </w:tcPr>
          <w:p w14:paraId="52A6D9E2" w14:textId="77777777" w:rsidR="002771AA" w:rsidRPr="00EC783E" w:rsidRDefault="002771AA" w:rsidP="00FE00B7">
            <w:pPr>
              <w:rPr>
                <w:rFonts w:cs="Arial"/>
              </w:rPr>
            </w:pPr>
            <w:r w:rsidRPr="00EC783E">
              <w:rPr>
                <w:rFonts w:cs="Arial"/>
              </w:rPr>
              <w:t>Type of Personal Data</w:t>
            </w:r>
          </w:p>
        </w:tc>
        <w:tc>
          <w:tcPr>
            <w:tcW w:w="5934" w:type="dxa"/>
            <w:shd w:val="clear" w:color="auto" w:fill="auto"/>
          </w:tcPr>
          <w:p w14:paraId="66019927" w14:textId="77777777" w:rsidR="002771AA" w:rsidRPr="00EC783E" w:rsidRDefault="002771AA" w:rsidP="00FE00B7">
            <w:pPr>
              <w:rPr>
                <w:rFonts w:cs="Arial"/>
              </w:rPr>
            </w:pPr>
          </w:p>
        </w:tc>
      </w:tr>
      <w:tr w:rsidR="002771AA" w:rsidRPr="00EC783E" w14:paraId="6E567798" w14:textId="77777777" w:rsidTr="00FA1952">
        <w:trPr>
          <w:trHeight w:val="1560"/>
        </w:trPr>
        <w:tc>
          <w:tcPr>
            <w:tcW w:w="3082" w:type="dxa"/>
            <w:shd w:val="clear" w:color="auto" w:fill="auto"/>
          </w:tcPr>
          <w:p w14:paraId="25BE8F47" w14:textId="77777777" w:rsidR="002771AA" w:rsidRPr="00EC783E" w:rsidRDefault="002771AA" w:rsidP="00FE00B7">
            <w:pPr>
              <w:rPr>
                <w:rFonts w:cs="Arial"/>
              </w:rPr>
            </w:pPr>
            <w:r w:rsidRPr="00EC783E">
              <w:rPr>
                <w:rFonts w:cs="Arial"/>
              </w:rPr>
              <w:t>Categories of Data Subject</w:t>
            </w:r>
          </w:p>
        </w:tc>
        <w:tc>
          <w:tcPr>
            <w:tcW w:w="5934" w:type="dxa"/>
            <w:shd w:val="clear" w:color="auto" w:fill="auto"/>
          </w:tcPr>
          <w:p w14:paraId="1A8B555C" w14:textId="77777777" w:rsidR="002771AA" w:rsidRPr="00EC783E" w:rsidRDefault="002771AA" w:rsidP="00FE00B7">
            <w:pPr>
              <w:rPr>
                <w:rFonts w:cs="Arial"/>
              </w:rPr>
            </w:pPr>
          </w:p>
        </w:tc>
      </w:tr>
    </w:tbl>
    <w:p w14:paraId="063705DF" w14:textId="77777777" w:rsidR="006F181E" w:rsidRPr="002771AA" w:rsidRDefault="002771AA" w:rsidP="002771AA">
      <w:pPr>
        <w:pStyle w:val="ScheduleTitleClause"/>
        <w:numPr>
          <w:ilvl w:val="0"/>
          <w:numId w:val="0"/>
        </w:numPr>
        <w:rPr>
          <w:rFonts w:eastAsia="Arial" w:cs="Arial"/>
          <w:sz w:val="24"/>
          <w:szCs w:val="24"/>
        </w:rPr>
      </w:pPr>
      <w:r w:rsidRPr="00F661A2">
        <w:rPr>
          <w:b w:val="0"/>
          <w:sz w:val="24"/>
          <w:szCs w:val="24"/>
        </w:rPr>
        <w:t xml:space="preserve"> </w:t>
      </w:r>
    </w:p>
    <w:sectPr w:rsidR="006F181E" w:rsidRPr="002771A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7E578" w14:textId="77777777" w:rsidR="00133373" w:rsidRDefault="00133373">
      <w:pPr>
        <w:spacing w:after="0" w:line="240" w:lineRule="auto"/>
      </w:pPr>
      <w:r>
        <w:separator/>
      </w:r>
    </w:p>
  </w:endnote>
  <w:endnote w:type="continuationSeparator" w:id="0">
    <w:p w14:paraId="28EC4AEC" w14:textId="77777777" w:rsidR="00133373" w:rsidRDefault="00133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STZhongsong">
    <w:altName w:val="Malgun Gothic Semilight"/>
    <w:charset w:val="00"/>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FA0BA" w14:textId="77777777" w:rsidR="00FE00B7" w:rsidRDefault="00FE00B7" w:rsidP="00E149D4">
    <w:pPr>
      <w:tabs>
        <w:tab w:val="center" w:pos="4513"/>
        <w:tab w:val="right" w:pos="9026"/>
      </w:tabs>
      <w:spacing w:after="0"/>
    </w:pPr>
  </w:p>
  <w:p w14:paraId="050ACA54" w14:textId="24270A54" w:rsidR="00FE00B7" w:rsidRPr="00E149D4" w:rsidRDefault="00FE00B7" w:rsidP="005A1920">
    <w:pPr>
      <w:tabs>
        <w:tab w:val="center" w:pos="4513"/>
        <w:tab w:val="right" w:pos="9026"/>
      </w:tabs>
      <w:spacing w:after="0"/>
    </w:pPr>
    <w:r>
      <w:t>Ref: RM3830</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7BE65" w14:textId="77777777" w:rsidR="00133373" w:rsidRDefault="00133373">
      <w:pPr>
        <w:spacing w:after="0" w:line="240" w:lineRule="auto"/>
      </w:pPr>
      <w:r>
        <w:separator/>
      </w:r>
    </w:p>
  </w:footnote>
  <w:footnote w:type="continuationSeparator" w:id="0">
    <w:p w14:paraId="6DFEA3B2" w14:textId="77777777" w:rsidR="00133373" w:rsidRDefault="00133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82757" w14:textId="0A45B49C" w:rsidR="00FE00B7" w:rsidRPr="00B91012" w:rsidRDefault="00FE00B7">
    <w:pPr>
      <w:pStyle w:val="Header"/>
      <w:rPr>
        <w:rFonts w:ascii="Arial" w:hAnsi="Arial" w:cs="Arial"/>
        <w:sz w:val="20"/>
      </w:rPr>
    </w:pPr>
    <w:r w:rsidRPr="00B91012">
      <w:rPr>
        <w:rFonts w:ascii="Arial" w:hAnsi="Arial" w:cs="Arial"/>
        <w:b/>
        <w:sz w:val="20"/>
      </w:rPr>
      <w:t>Joint Schedule 11 (Processing Data)</w:t>
    </w:r>
    <w:r w:rsidRPr="00B91012">
      <w:rPr>
        <w:rStyle w:val="Emphasis"/>
        <w:rFonts w:ascii="Arial" w:hAnsi="Arial" w:cs="Arial"/>
        <w:noProof/>
        <w:sz w:val="20"/>
        <w:lang w:eastAsia="en-GB"/>
      </w:rPr>
      <w:drawing>
        <wp:anchor distT="0" distB="0" distL="114300" distR="114300" simplePos="0" relativeHeight="251659264" behindDoc="0" locked="0" layoutInCell="1" allowOverlap="1" wp14:anchorId="26B4A1E8" wp14:editId="7AB412F3">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Arial" w:hAnsi="Arial" w:cs="Arial"/>
        <w:b/>
        <w:sz w:val="20"/>
      </w:rPr>
      <w:t xml:space="preserve"> </w:t>
    </w:r>
    <w:r w:rsidR="005A1920">
      <w:rPr>
        <w:rFonts w:ascii="Arial" w:hAnsi="Arial" w:cs="Arial"/>
        <w:b/>
        <w:sz w:val="20"/>
      </w:rPr>
      <w:t>Direct Award v1</w:t>
    </w:r>
    <w:r>
      <w:rPr>
        <w:rFonts w:ascii="Arial" w:hAnsi="Arial" w:cs="Arial"/>
        <w:b/>
        <w:sz w:val="20"/>
      </w:rPr>
      <w:t>.0</w:t>
    </w:r>
  </w:p>
  <w:p w14:paraId="0F39FB91" w14:textId="3AE2B3A1" w:rsidR="00FE00B7" w:rsidRDefault="00FE00B7">
    <w:pPr>
      <w:pStyle w:val="Header"/>
      <w:rPr>
        <w:rFonts w:ascii="Arial" w:hAnsi="Arial" w:cs="Arial"/>
        <w:color w:val="000000"/>
        <w:sz w:val="20"/>
        <w:szCs w:val="16"/>
        <w:lang w:eastAsia="en-GB"/>
      </w:rPr>
    </w:pPr>
    <w:r w:rsidRPr="00B91012">
      <w:rPr>
        <w:rFonts w:ascii="Arial" w:hAnsi="Arial" w:cs="Arial"/>
        <w:sz w:val="20"/>
      </w:rPr>
      <w:t>Crown Copyright</w:t>
    </w:r>
    <w:r w:rsidRPr="00B91012">
      <w:rPr>
        <w:rFonts w:ascii="Arial" w:hAnsi="Arial" w:cs="Arial"/>
        <w:color w:val="000000"/>
        <w:sz w:val="14"/>
        <w:szCs w:val="16"/>
        <w:lang w:eastAsia="en-GB"/>
      </w:rPr>
      <w:t xml:space="preserve"> </w:t>
    </w:r>
    <w:r w:rsidRPr="00B91012">
      <w:rPr>
        <w:rFonts w:ascii="Arial" w:hAnsi="Arial" w:cs="Arial"/>
        <w:color w:val="000000"/>
        <w:sz w:val="20"/>
        <w:szCs w:val="16"/>
        <w:lang w:eastAsia="en-GB"/>
      </w:rPr>
      <w:t>201</w:t>
    </w:r>
    <w:r>
      <w:rPr>
        <w:rFonts w:ascii="Arial" w:hAnsi="Arial" w:cs="Arial"/>
        <w:color w:val="000000"/>
        <w:sz w:val="20"/>
        <w:szCs w:val="16"/>
        <w:lang w:eastAsia="en-GB"/>
      </w:rPr>
      <w:t>8</w:t>
    </w:r>
  </w:p>
  <w:p w14:paraId="36611C6C" w14:textId="77777777" w:rsidR="00FE00B7" w:rsidRPr="00B91012" w:rsidRDefault="00FE00B7">
    <w:pPr>
      <w:pStyle w:val="Header"/>
      <w:rPr>
        <w:rFonts w:ascii="Arial" w:hAnsi="Arial" w:cs="Arial"/>
        <w:sz w:val="20"/>
      </w:rPr>
    </w:pPr>
  </w:p>
  <w:p w14:paraId="3E749DAD" w14:textId="77777777" w:rsidR="00FE00B7" w:rsidRPr="00B91012" w:rsidRDefault="00FE00B7">
    <w:pPr>
      <w:pStyle w:val="Header"/>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2508"/>
    <w:multiLevelType w:val="multilevel"/>
    <w:tmpl w:val="1CB2554C"/>
    <w:lvl w:ilvl="0">
      <w:start w:val="1"/>
      <w:numFmt w:val="bullet"/>
      <w:lvlText w:val=""/>
      <w:lvlJc w:val="left"/>
      <w:pPr>
        <w:ind w:left="1570" w:hanging="170"/>
      </w:pPr>
      <w:rPr>
        <w:rFonts w:ascii="Symbol" w:hAnsi="Symbol" w:hint="default"/>
        <w:sz w:val="22"/>
      </w:rPr>
    </w:lvl>
    <w:lvl w:ilvl="1">
      <w:start w:val="1"/>
      <w:numFmt w:val="lowerLetter"/>
      <w:lvlText w:val="%2)"/>
      <w:lvlJc w:val="left"/>
      <w:pPr>
        <w:tabs>
          <w:tab w:val="num" w:pos="1832"/>
        </w:tabs>
        <w:ind w:left="1832" w:hanging="259"/>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2480" w:hanging="360"/>
      </w:pPr>
      <w:rPr>
        <w:rFonts w:asciiTheme="minorHAnsi" w:hAnsiTheme="minorHAnsi" w:hint="default"/>
        <w:sz w:val="22"/>
      </w:rPr>
    </w:lvl>
    <w:lvl w:ilvl="3">
      <w:start w:val="1"/>
      <w:numFmt w:val="decimal"/>
      <w:lvlText w:val="(%4)"/>
      <w:lvlJc w:val="left"/>
      <w:pPr>
        <w:ind w:left="2840" w:hanging="360"/>
      </w:pPr>
      <w:rPr>
        <w:rFonts w:hint="default"/>
      </w:rPr>
    </w:lvl>
    <w:lvl w:ilvl="4">
      <w:start w:val="1"/>
      <w:numFmt w:val="lowerLetter"/>
      <w:lvlText w:val="(%5)"/>
      <w:lvlJc w:val="left"/>
      <w:pPr>
        <w:ind w:left="3200" w:hanging="360"/>
      </w:pPr>
      <w:rPr>
        <w:rFonts w:hint="default"/>
      </w:rPr>
    </w:lvl>
    <w:lvl w:ilvl="5">
      <w:start w:val="1"/>
      <w:numFmt w:val="lowerRoman"/>
      <w:lvlText w:val="(%6)"/>
      <w:lvlJc w:val="left"/>
      <w:pPr>
        <w:ind w:left="3560" w:hanging="360"/>
      </w:pPr>
      <w:rPr>
        <w:rFonts w:hint="default"/>
      </w:rPr>
    </w:lvl>
    <w:lvl w:ilvl="6">
      <w:start w:val="1"/>
      <w:numFmt w:val="decimal"/>
      <w:lvlText w:val="%7."/>
      <w:lvlJc w:val="left"/>
      <w:pPr>
        <w:ind w:left="3920" w:hanging="360"/>
      </w:pPr>
      <w:rPr>
        <w:rFonts w:hint="default"/>
      </w:rPr>
    </w:lvl>
    <w:lvl w:ilvl="7">
      <w:start w:val="1"/>
      <w:numFmt w:val="lowerLetter"/>
      <w:lvlText w:val="%8."/>
      <w:lvlJc w:val="left"/>
      <w:pPr>
        <w:ind w:left="4280" w:hanging="360"/>
      </w:pPr>
      <w:rPr>
        <w:rFonts w:hint="default"/>
      </w:rPr>
    </w:lvl>
    <w:lvl w:ilvl="8">
      <w:start w:val="1"/>
      <w:numFmt w:val="lowerRoman"/>
      <w:lvlText w:val="%9."/>
      <w:lvlJc w:val="left"/>
      <w:pPr>
        <w:ind w:left="4640" w:hanging="360"/>
      </w:pPr>
      <w:rPr>
        <w:rFonts w:hint="default"/>
      </w:rPr>
    </w:lvl>
  </w:abstractNum>
  <w:abstractNum w:abstractNumId="1" w15:restartNumberingAfterBreak="0">
    <w:nsid w:val="0AC309DA"/>
    <w:multiLevelType w:val="multilevel"/>
    <w:tmpl w:val="27428A16"/>
    <w:lvl w:ilvl="0">
      <w:start w:val="1"/>
      <w:numFmt w:val="bullet"/>
      <w:lvlText w:val=""/>
      <w:lvlJc w:val="left"/>
      <w:pPr>
        <w:ind w:left="1570" w:hanging="170"/>
      </w:pPr>
      <w:rPr>
        <w:rFonts w:ascii="Symbol" w:hAnsi="Symbol" w:hint="default"/>
        <w:sz w:val="22"/>
      </w:rPr>
    </w:lvl>
    <w:lvl w:ilvl="1">
      <w:start w:val="1"/>
      <w:numFmt w:val="lowerLetter"/>
      <w:lvlText w:val="%2)"/>
      <w:lvlJc w:val="left"/>
      <w:pPr>
        <w:tabs>
          <w:tab w:val="num" w:pos="1832"/>
        </w:tabs>
        <w:ind w:left="1832" w:hanging="259"/>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2480" w:hanging="360"/>
      </w:pPr>
      <w:rPr>
        <w:rFonts w:asciiTheme="minorHAnsi" w:hAnsiTheme="minorHAnsi" w:hint="default"/>
        <w:sz w:val="22"/>
      </w:rPr>
    </w:lvl>
    <w:lvl w:ilvl="3">
      <w:start w:val="1"/>
      <w:numFmt w:val="decimal"/>
      <w:lvlText w:val="(%4)"/>
      <w:lvlJc w:val="left"/>
      <w:pPr>
        <w:ind w:left="2840" w:hanging="360"/>
      </w:pPr>
      <w:rPr>
        <w:rFonts w:hint="default"/>
      </w:rPr>
    </w:lvl>
    <w:lvl w:ilvl="4">
      <w:start w:val="1"/>
      <w:numFmt w:val="lowerLetter"/>
      <w:lvlText w:val="(%5)"/>
      <w:lvlJc w:val="left"/>
      <w:pPr>
        <w:ind w:left="3200" w:hanging="360"/>
      </w:pPr>
      <w:rPr>
        <w:rFonts w:hint="default"/>
      </w:rPr>
    </w:lvl>
    <w:lvl w:ilvl="5">
      <w:start w:val="1"/>
      <w:numFmt w:val="lowerRoman"/>
      <w:lvlText w:val="(%6)"/>
      <w:lvlJc w:val="left"/>
      <w:pPr>
        <w:ind w:left="3560" w:hanging="360"/>
      </w:pPr>
      <w:rPr>
        <w:rFonts w:hint="default"/>
      </w:rPr>
    </w:lvl>
    <w:lvl w:ilvl="6">
      <w:start w:val="1"/>
      <w:numFmt w:val="decimal"/>
      <w:lvlText w:val="%7."/>
      <w:lvlJc w:val="left"/>
      <w:pPr>
        <w:ind w:left="3920" w:hanging="360"/>
      </w:pPr>
      <w:rPr>
        <w:rFonts w:hint="default"/>
      </w:rPr>
    </w:lvl>
    <w:lvl w:ilvl="7">
      <w:start w:val="1"/>
      <w:numFmt w:val="lowerLetter"/>
      <w:lvlText w:val="%8."/>
      <w:lvlJc w:val="left"/>
      <w:pPr>
        <w:ind w:left="4280" w:hanging="360"/>
      </w:pPr>
      <w:rPr>
        <w:rFonts w:hint="default"/>
      </w:rPr>
    </w:lvl>
    <w:lvl w:ilvl="8">
      <w:start w:val="1"/>
      <w:numFmt w:val="lowerRoman"/>
      <w:lvlText w:val="%9."/>
      <w:lvlJc w:val="left"/>
      <w:pPr>
        <w:ind w:left="4640" w:hanging="360"/>
      </w:pPr>
      <w:rPr>
        <w:rFonts w:hint="default"/>
      </w:rPr>
    </w:lvl>
  </w:abstractNum>
  <w:abstractNum w:abstractNumId="2" w15:restartNumberingAfterBreak="0">
    <w:nsid w:val="0FEE4FED"/>
    <w:multiLevelType w:val="multilevel"/>
    <w:tmpl w:val="172A27A8"/>
    <w:lvl w:ilvl="0">
      <w:start w:val="1"/>
      <w:numFmt w:val="none"/>
      <w:lvlText w:val="%1"/>
      <w:lvlJc w:val="left"/>
      <w:pPr>
        <w:ind w:left="170" w:hanging="170"/>
      </w:pPr>
      <w:rPr>
        <w:rFonts w:ascii="Arial" w:hAnsi="Arial" w:hint="default"/>
        <w:sz w:val="22"/>
      </w:rPr>
    </w:lvl>
    <w:lvl w:ilvl="1">
      <w:start w:val="1"/>
      <w:numFmt w:val="lowerLetter"/>
      <w:lvlText w:val="%2)"/>
      <w:lvlJc w:val="left"/>
      <w:pPr>
        <w:tabs>
          <w:tab w:val="num" w:pos="432"/>
        </w:tabs>
        <w:ind w:left="432" w:hanging="259"/>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080" w:hanging="360"/>
      </w:pPr>
      <w:rPr>
        <w:rFonts w:asciiTheme="minorHAnsi" w:hAnsiTheme="minorHAnsi"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825EA9"/>
    <w:multiLevelType w:val="multilevel"/>
    <w:tmpl w:val="F86E49DC"/>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b w:val="0"/>
        <w:color w:val="000000"/>
      </w:rPr>
    </w:lvl>
    <w:lvl w:ilvl="3">
      <w:start w:val="1"/>
      <w:numFmt w:val="decimal"/>
      <w:pStyle w:val="ScheduleUntitledsubclause1"/>
      <w:lvlText w:val="%3.%4"/>
      <w:lvlJc w:val="left"/>
      <w:pPr>
        <w:tabs>
          <w:tab w:val="num" w:pos="720"/>
        </w:tabs>
        <w:ind w:left="720" w:hanging="720"/>
      </w:pPr>
      <w:rPr>
        <w:rFonts w:hint="default"/>
        <w:b w:val="0"/>
        <w:color w:val="000000"/>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9A563A6"/>
    <w:multiLevelType w:val="multilevel"/>
    <w:tmpl w:val="27428A16"/>
    <w:lvl w:ilvl="0">
      <w:start w:val="1"/>
      <w:numFmt w:val="bullet"/>
      <w:lvlText w:val=""/>
      <w:lvlJc w:val="left"/>
      <w:pPr>
        <w:ind w:left="1570" w:hanging="170"/>
      </w:pPr>
      <w:rPr>
        <w:rFonts w:ascii="Symbol" w:hAnsi="Symbol" w:hint="default"/>
        <w:sz w:val="22"/>
      </w:rPr>
    </w:lvl>
    <w:lvl w:ilvl="1">
      <w:start w:val="1"/>
      <w:numFmt w:val="lowerLetter"/>
      <w:lvlText w:val="%2)"/>
      <w:lvlJc w:val="left"/>
      <w:pPr>
        <w:tabs>
          <w:tab w:val="num" w:pos="1832"/>
        </w:tabs>
        <w:ind w:left="1832" w:hanging="259"/>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2480" w:hanging="360"/>
      </w:pPr>
      <w:rPr>
        <w:rFonts w:asciiTheme="minorHAnsi" w:hAnsiTheme="minorHAnsi" w:hint="default"/>
        <w:sz w:val="22"/>
      </w:rPr>
    </w:lvl>
    <w:lvl w:ilvl="3">
      <w:start w:val="1"/>
      <w:numFmt w:val="decimal"/>
      <w:lvlText w:val="(%4)"/>
      <w:lvlJc w:val="left"/>
      <w:pPr>
        <w:ind w:left="2840" w:hanging="360"/>
      </w:pPr>
      <w:rPr>
        <w:rFonts w:hint="default"/>
      </w:rPr>
    </w:lvl>
    <w:lvl w:ilvl="4">
      <w:start w:val="1"/>
      <w:numFmt w:val="lowerLetter"/>
      <w:lvlText w:val="(%5)"/>
      <w:lvlJc w:val="left"/>
      <w:pPr>
        <w:ind w:left="3200" w:hanging="360"/>
      </w:pPr>
      <w:rPr>
        <w:rFonts w:hint="default"/>
      </w:rPr>
    </w:lvl>
    <w:lvl w:ilvl="5">
      <w:start w:val="1"/>
      <w:numFmt w:val="lowerRoman"/>
      <w:lvlText w:val="(%6)"/>
      <w:lvlJc w:val="left"/>
      <w:pPr>
        <w:ind w:left="3560" w:hanging="360"/>
      </w:pPr>
      <w:rPr>
        <w:rFonts w:hint="default"/>
      </w:rPr>
    </w:lvl>
    <w:lvl w:ilvl="6">
      <w:start w:val="1"/>
      <w:numFmt w:val="decimal"/>
      <w:lvlText w:val="%7."/>
      <w:lvlJc w:val="left"/>
      <w:pPr>
        <w:ind w:left="3920" w:hanging="360"/>
      </w:pPr>
      <w:rPr>
        <w:rFonts w:hint="default"/>
      </w:rPr>
    </w:lvl>
    <w:lvl w:ilvl="7">
      <w:start w:val="1"/>
      <w:numFmt w:val="lowerLetter"/>
      <w:lvlText w:val="%8."/>
      <w:lvlJc w:val="left"/>
      <w:pPr>
        <w:ind w:left="4280" w:hanging="360"/>
      </w:pPr>
      <w:rPr>
        <w:rFonts w:hint="default"/>
      </w:rPr>
    </w:lvl>
    <w:lvl w:ilvl="8">
      <w:start w:val="1"/>
      <w:numFmt w:val="lowerRoman"/>
      <w:lvlText w:val="%9."/>
      <w:lvlJc w:val="left"/>
      <w:pPr>
        <w:ind w:left="4640" w:hanging="360"/>
      </w:pPr>
      <w:rPr>
        <w:rFonts w:hint="default"/>
      </w:rPr>
    </w:lvl>
  </w:abstractNum>
  <w:abstractNum w:abstractNumId="5" w15:restartNumberingAfterBreak="0">
    <w:nsid w:val="382478A9"/>
    <w:multiLevelType w:val="multilevel"/>
    <w:tmpl w:val="8EAA743C"/>
    <w:lvl w:ilvl="0">
      <w:start w:val="1"/>
      <w:numFmt w:val="lowerLetter"/>
      <w:lvlText w:val="%1)"/>
      <w:lvlJc w:val="left"/>
      <w:pPr>
        <w:ind w:left="170" w:hanging="170"/>
      </w:pPr>
      <w:rPr>
        <w:rFonts w:hint="default"/>
        <w:sz w:val="22"/>
      </w:rPr>
    </w:lvl>
    <w:lvl w:ilvl="1">
      <w:start w:val="1"/>
      <w:numFmt w:val="lowerLetter"/>
      <w:lvlText w:val="%2)"/>
      <w:lvlJc w:val="left"/>
      <w:pPr>
        <w:tabs>
          <w:tab w:val="num" w:pos="432"/>
        </w:tabs>
        <w:ind w:left="432" w:hanging="259"/>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080" w:hanging="360"/>
      </w:pPr>
      <w:rPr>
        <w:rFonts w:asciiTheme="minorHAnsi" w:hAnsiTheme="minorHAnsi"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4CA3B04"/>
    <w:multiLevelType w:val="multilevel"/>
    <w:tmpl w:val="AC30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22916"/>
    <w:multiLevelType w:val="multilevel"/>
    <w:tmpl w:val="CCDA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F2FD3"/>
    <w:multiLevelType w:val="multilevel"/>
    <w:tmpl w:val="DFF8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B56BF"/>
    <w:multiLevelType w:val="multilevel"/>
    <w:tmpl w:val="3034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9627D"/>
    <w:multiLevelType w:val="multilevel"/>
    <w:tmpl w:val="2880350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611350DE"/>
    <w:multiLevelType w:val="multilevel"/>
    <w:tmpl w:val="3AF2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50894"/>
    <w:multiLevelType w:val="hybridMultilevel"/>
    <w:tmpl w:val="AB0A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C12AA4"/>
    <w:multiLevelType w:val="multilevel"/>
    <w:tmpl w:val="1DB2B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13"/>
  </w:num>
  <w:num w:numId="5">
    <w:abstractNumId w:val="9"/>
  </w:num>
  <w:num w:numId="6">
    <w:abstractNumId w:val="8"/>
  </w:num>
  <w:num w:numId="7">
    <w:abstractNumId w:val="11"/>
  </w:num>
  <w:num w:numId="8">
    <w:abstractNumId w:val="7"/>
  </w:num>
  <w:num w:numId="9">
    <w:abstractNumId w:val="12"/>
  </w:num>
  <w:num w:numId="10">
    <w:abstractNumId w:val="2"/>
  </w:num>
  <w:num w:numId="11">
    <w:abstractNumId w:val="5"/>
  </w:num>
  <w:num w:numId="12">
    <w:abstractNumId w:val="1"/>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1E"/>
    <w:rsid w:val="00000571"/>
    <w:rsid w:val="000859BA"/>
    <w:rsid w:val="000D0052"/>
    <w:rsid w:val="000F15E6"/>
    <w:rsid w:val="00133373"/>
    <w:rsid w:val="001D266F"/>
    <w:rsid w:val="001E784D"/>
    <w:rsid w:val="002771AA"/>
    <w:rsid w:val="002D201F"/>
    <w:rsid w:val="002E5158"/>
    <w:rsid w:val="002F0CB2"/>
    <w:rsid w:val="00437F8C"/>
    <w:rsid w:val="004C1AC5"/>
    <w:rsid w:val="004F6905"/>
    <w:rsid w:val="0052113C"/>
    <w:rsid w:val="005A1920"/>
    <w:rsid w:val="005E2B6D"/>
    <w:rsid w:val="00610F65"/>
    <w:rsid w:val="00630F21"/>
    <w:rsid w:val="00651F75"/>
    <w:rsid w:val="006C16B3"/>
    <w:rsid w:val="006F181E"/>
    <w:rsid w:val="00712566"/>
    <w:rsid w:val="00725BAC"/>
    <w:rsid w:val="007310B9"/>
    <w:rsid w:val="00776065"/>
    <w:rsid w:val="007A056D"/>
    <w:rsid w:val="00804EC2"/>
    <w:rsid w:val="0081325B"/>
    <w:rsid w:val="00832AD6"/>
    <w:rsid w:val="008900AB"/>
    <w:rsid w:val="00945D88"/>
    <w:rsid w:val="00946D03"/>
    <w:rsid w:val="00954A5F"/>
    <w:rsid w:val="0096174F"/>
    <w:rsid w:val="009C3FD0"/>
    <w:rsid w:val="00A044CC"/>
    <w:rsid w:val="00A469A3"/>
    <w:rsid w:val="00A61B65"/>
    <w:rsid w:val="00A9032A"/>
    <w:rsid w:val="00AB5E23"/>
    <w:rsid w:val="00B713EA"/>
    <w:rsid w:val="00B91012"/>
    <w:rsid w:val="00BA4E3B"/>
    <w:rsid w:val="00BA7BDE"/>
    <w:rsid w:val="00BD4EB5"/>
    <w:rsid w:val="00C871A9"/>
    <w:rsid w:val="00D07747"/>
    <w:rsid w:val="00E149D4"/>
    <w:rsid w:val="00EC783E"/>
    <w:rsid w:val="00F11477"/>
    <w:rsid w:val="00F25309"/>
    <w:rsid w:val="00F42B75"/>
    <w:rsid w:val="00FA1952"/>
    <w:rsid w:val="00FE00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69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GPSSchTitleandNumber">
    <w:name w:val="GPS Sch Title and Number"/>
    <w:basedOn w:val="Normal"/>
    <w:link w:val="GPSSchTitleandNumberChar"/>
    <w:qFormat/>
    <w:pPr>
      <w:keepNext/>
      <w:adjustRightInd w:val="0"/>
      <w:spacing w:after="240" w:line="240" w:lineRule="auto"/>
      <w:jc w:val="center"/>
      <w:outlineLvl w:val="0"/>
    </w:pPr>
    <w:rPr>
      <w:rFonts w:ascii="Arial Bold" w:eastAsia="STZhongsong" w:hAnsi="Arial Bold" w:cs="Times New Roman"/>
      <w:b/>
      <w:caps/>
      <w:lang w:eastAsia="zh-CN"/>
    </w:rPr>
  </w:style>
  <w:style w:type="character" w:customStyle="1" w:styleId="GPSSchTitleandNumberChar">
    <w:name w:val="GPS Sch Title and Number Char"/>
    <w:link w:val="GPSSchTitleandNumber"/>
    <w:rPr>
      <w:rFonts w:ascii="Arial Bold" w:eastAsia="STZhongsong" w:hAnsi="Arial Bold" w:cs="Times New Roman"/>
      <w:b/>
      <w:caps/>
      <w:lang w:eastAsia="zh-CN"/>
    </w:rPr>
  </w:style>
  <w:style w:type="paragraph" w:customStyle="1" w:styleId="TSOLScheduleAnnexName">
    <w:name w:val="TSOL Schedule Annex Name"/>
    <w:qFormat/>
    <w:pPr>
      <w:spacing w:after="240" w:line="240" w:lineRule="auto"/>
      <w:jc w:val="center"/>
      <w:outlineLvl w:val="1"/>
    </w:pPr>
    <w:rPr>
      <w:rFonts w:ascii="Calibri" w:eastAsia="STZhongsong" w:hAnsi="Calibri" w:cs="Arial"/>
      <w:b/>
      <w:caps/>
      <w:lang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ormal1">
    <w:name w:val="Normal1"/>
    <w:pPr>
      <w:widowControl w:val="0"/>
      <w:spacing w:after="80" w:line="240" w:lineRule="auto"/>
    </w:pPr>
    <w:rPr>
      <w:rFonts w:ascii="Calibri" w:eastAsia="Calibri" w:hAnsi="Calibri" w:cs="Calibri"/>
      <w:color w:val="000000"/>
    </w:rPr>
  </w:style>
  <w:style w:type="table" w:styleId="TableGrid">
    <w:name w:val="Table Grid"/>
    <w:basedOn w:val="TableNormal"/>
    <w:uiPriority w:val="59"/>
    <w:pPr>
      <w:spacing w:after="0" w:line="240" w:lineRule="auto"/>
    </w:pPr>
    <w:rPr>
      <w:rFonts w:ascii="Calibri" w:eastAsia="Calibri" w:hAnsi="Calibri"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GPSL2Numbered">
    <w:name w:val="GPS L2 Numbered"/>
    <w:basedOn w:val="Normal"/>
    <w:link w:val="GPSL2NumberedChar"/>
    <w:qFormat/>
    <w:pPr>
      <w:tabs>
        <w:tab w:val="left" w:pos="709"/>
        <w:tab w:val="left" w:pos="1134"/>
      </w:tabs>
      <w:adjustRightInd w:val="0"/>
      <w:spacing w:before="120" w:after="120" w:line="240" w:lineRule="auto"/>
      <w:jc w:val="both"/>
    </w:pPr>
    <w:rPr>
      <w:rFonts w:ascii="Calibri" w:eastAsia="Times New Roman" w:hAnsi="Calibri" w:cs="Arial"/>
      <w:lang w:eastAsia="zh-CN"/>
    </w:rPr>
  </w:style>
  <w:style w:type="character" w:customStyle="1" w:styleId="GPSL2NumberedChar">
    <w:name w:val="GPS L2 Numbered Char"/>
    <w:link w:val="GPSL2Numbered"/>
    <w:locked/>
    <w:rPr>
      <w:rFonts w:ascii="Calibri" w:eastAsia="Times New Roman" w:hAnsi="Calibri" w:cs="Arial"/>
      <w:lang w:eastAsia="zh-CN"/>
    </w:rPr>
  </w:style>
  <w:style w:type="paragraph" w:styleId="Revision">
    <w:name w:val="Revision"/>
    <w:hidden/>
    <w:uiPriority w:val="99"/>
    <w:semiHidden/>
    <w:rsid w:val="00F42B75"/>
    <w:pPr>
      <w:spacing w:after="0" w:line="240" w:lineRule="auto"/>
    </w:pPr>
  </w:style>
  <w:style w:type="paragraph" w:customStyle="1" w:styleId="ScheduleTitleClause">
    <w:name w:val="Schedule Title Clause"/>
    <w:basedOn w:val="Normal"/>
    <w:rsid w:val="002771AA"/>
    <w:pPr>
      <w:keepNext/>
      <w:numPr>
        <w:ilvl w:val="2"/>
        <w:numId w:val="1"/>
      </w:numPr>
      <w:spacing w:before="240" w:after="240" w:line="300" w:lineRule="atLeast"/>
      <w:jc w:val="both"/>
      <w:outlineLvl w:val="0"/>
    </w:pPr>
    <w:rPr>
      <w:rFonts w:ascii="Arial" w:eastAsia="Times New Roman" w:hAnsi="Arial" w:cs="Times New Roman"/>
      <w:b/>
      <w:color w:val="000000"/>
      <w:kern w:val="28"/>
      <w:szCs w:val="20"/>
    </w:rPr>
  </w:style>
  <w:style w:type="paragraph" w:customStyle="1" w:styleId="ScheduleUntitledsubclause1">
    <w:name w:val="Schedule Untitled subclause 1"/>
    <w:basedOn w:val="Normal"/>
    <w:rsid w:val="002771AA"/>
    <w:pPr>
      <w:numPr>
        <w:ilvl w:val="3"/>
        <w:numId w:val="1"/>
      </w:numPr>
      <w:spacing w:before="280" w:after="120" w:line="300" w:lineRule="atLeast"/>
      <w:jc w:val="both"/>
      <w:outlineLvl w:val="1"/>
    </w:pPr>
    <w:rPr>
      <w:rFonts w:ascii="Arial" w:eastAsia="Times New Roman" w:hAnsi="Arial" w:cs="Times New Roman"/>
      <w:color w:val="000000"/>
      <w:szCs w:val="20"/>
    </w:rPr>
  </w:style>
  <w:style w:type="paragraph" w:customStyle="1" w:styleId="ScheduleUntitledsubclause2">
    <w:name w:val="Schedule Untitled subclause 2"/>
    <w:basedOn w:val="Normal"/>
    <w:rsid w:val="002771AA"/>
    <w:pPr>
      <w:numPr>
        <w:ilvl w:val="4"/>
        <w:numId w:val="1"/>
      </w:numPr>
      <w:spacing w:after="120" w:line="300" w:lineRule="atLeast"/>
      <w:jc w:val="both"/>
      <w:outlineLvl w:val="2"/>
    </w:pPr>
    <w:rPr>
      <w:rFonts w:ascii="Arial" w:eastAsia="Times New Roman" w:hAnsi="Arial" w:cs="Times New Roman"/>
      <w:color w:val="000000"/>
      <w:szCs w:val="20"/>
    </w:rPr>
  </w:style>
  <w:style w:type="paragraph" w:customStyle="1" w:styleId="ScheduleUntitledsubclause3">
    <w:name w:val="Schedule Untitled subclause 3"/>
    <w:basedOn w:val="Normal"/>
    <w:rsid w:val="002771AA"/>
    <w:pPr>
      <w:numPr>
        <w:ilvl w:val="5"/>
        <w:numId w:val="1"/>
      </w:numPr>
      <w:tabs>
        <w:tab w:val="left" w:pos="2261"/>
      </w:tabs>
      <w:spacing w:after="120" w:line="300" w:lineRule="atLeast"/>
      <w:jc w:val="both"/>
      <w:outlineLvl w:val="3"/>
    </w:pPr>
    <w:rPr>
      <w:rFonts w:ascii="Arial" w:eastAsia="Times New Roman" w:hAnsi="Arial" w:cs="Times New Roman"/>
      <w:color w:val="000000"/>
      <w:szCs w:val="20"/>
    </w:rPr>
  </w:style>
  <w:style w:type="paragraph" w:customStyle="1" w:styleId="Schedule">
    <w:name w:val="Schedule"/>
    <w:qFormat/>
    <w:rsid w:val="002771AA"/>
    <w:pPr>
      <w:numPr>
        <w:numId w:val="1"/>
      </w:numPr>
      <w:spacing w:before="240" w:after="240" w:line="240" w:lineRule="atLeast"/>
    </w:pPr>
    <w:rPr>
      <w:rFonts w:ascii="Arial" w:eastAsia="Times New Roman" w:hAnsi="Arial" w:cs="Times New Roman"/>
      <w:b/>
      <w:color w:val="000000"/>
      <w:lang w:val="en-US"/>
    </w:rPr>
  </w:style>
  <w:style w:type="paragraph" w:customStyle="1" w:styleId="Part">
    <w:name w:val="Part"/>
    <w:basedOn w:val="Normal"/>
    <w:qFormat/>
    <w:rsid w:val="002771AA"/>
    <w:pPr>
      <w:numPr>
        <w:ilvl w:val="1"/>
        <w:numId w:val="1"/>
      </w:numPr>
      <w:spacing w:before="240" w:after="240" w:line="300" w:lineRule="atLeast"/>
    </w:pPr>
    <w:rPr>
      <w:rFonts w:ascii="Arial" w:eastAsia="Times New Roman" w:hAnsi="Arial" w:cs="Times New Roman"/>
      <w:b/>
      <w:color w:val="000000"/>
      <w:szCs w:val="20"/>
    </w:rPr>
  </w:style>
  <w:style w:type="paragraph" w:styleId="NormalWeb">
    <w:name w:val="Normal (Web)"/>
    <w:basedOn w:val="Normal"/>
    <w:uiPriority w:val="99"/>
    <w:unhideWhenUsed/>
    <w:rsid w:val="00712566"/>
    <w:pPr>
      <w:spacing w:before="100" w:beforeAutospacing="1" w:after="100" w:afterAutospacing="1" w:line="240" w:lineRule="auto"/>
    </w:pPr>
    <w:rPr>
      <w:rFonts w:ascii="Times New Roman" w:hAnsi="Times New Roman" w:cs="Times New Roman"/>
      <w:sz w:val="24"/>
      <w:szCs w:val="24"/>
      <w:lang w:eastAsia="en-GB"/>
    </w:rPr>
  </w:style>
  <w:style w:type="character" w:customStyle="1" w:styleId="gmail-apple-tab-span">
    <w:name w:val="gmail-apple-tab-span"/>
    <w:basedOn w:val="DefaultParagraphFont"/>
    <w:rsid w:val="00712566"/>
  </w:style>
  <w:style w:type="paragraph" w:styleId="ListParagraph">
    <w:name w:val="List Paragraph"/>
    <w:basedOn w:val="Normal"/>
    <w:uiPriority w:val="34"/>
    <w:qFormat/>
    <w:rsid w:val="000859BA"/>
    <w:pPr>
      <w:suppressAutoHyphens/>
      <w:autoSpaceDN w:val="0"/>
      <w:ind w:left="720"/>
      <w:textAlignment w:val="baseline"/>
    </w:pPr>
    <w:rPr>
      <w:rFonts w:ascii="Calibri" w:eastAsia="Calibri" w:hAnsi="Calibri" w:cs="Times New Roman"/>
    </w:rPr>
  </w:style>
  <w:style w:type="paragraph" w:customStyle="1" w:styleId="GPsDefinition">
    <w:name w:val="GPs Definition"/>
    <w:basedOn w:val="Normal"/>
    <w:qFormat/>
    <w:rsid w:val="000859BA"/>
    <w:pPr>
      <w:tabs>
        <w:tab w:val="left" w:pos="-179"/>
      </w:tabs>
      <w:overflowPunct w:val="0"/>
      <w:autoSpaceDE w:val="0"/>
      <w:autoSpaceDN w:val="0"/>
      <w:spacing w:after="120" w:line="240" w:lineRule="auto"/>
      <w:jc w:val="both"/>
      <w:textAlignment w:val="baseline"/>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81685">
      <w:bodyDiv w:val="1"/>
      <w:marLeft w:val="0"/>
      <w:marRight w:val="0"/>
      <w:marTop w:val="0"/>
      <w:marBottom w:val="0"/>
      <w:divBdr>
        <w:top w:val="none" w:sz="0" w:space="0" w:color="auto"/>
        <w:left w:val="none" w:sz="0" w:space="0" w:color="auto"/>
        <w:bottom w:val="none" w:sz="0" w:space="0" w:color="auto"/>
        <w:right w:val="none" w:sz="0" w:space="0" w:color="auto"/>
      </w:divBdr>
    </w:div>
    <w:div w:id="241764648">
      <w:bodyDiv w:val="1"/>
      <w:marLeft w:val="0"/>
      <w:marRight w:val="0"/>
      <w:marTop w:val="0"/>
      <w:marBottom w:val="0"/>
      <w:divBdr>
        <w:top w:val="none" w:sz="0" w:space="0" w:color="auto"/>
        <w:left w:val="none" w:sz="0" w:space="0" w:color="auto"/>
        <w:bottom w:val="none" w:sz="0" w:space="0" w:color="auto"/>
        <w:right w:val="none" w:sz="0" w:space="0" w:color="auto"/>
      </w:divBdr>
    </w:div>
    <w:div w:id="910846462">
      <w:bodyDiv w:val="1"/>
      <w:marLeft w:val="0"/>
      <w:marRight w:val="0"/>
      <w:marTop w:val="0"/>
      <w:marBottom w:val="0"/>
      <w:divBdr>
        <w:top w:val="none" w:sz="0" w:space="0" w:color="auto"/>
        <w:left w:val="none" w:sz="0" w:space="0" w:color="auto"/>
        <w:bottom w:val="none" w:sz="0" w:space="0" w:color="auto"/>
        <w:right w:val="none" w:sz="0" w:space="0" w:color="auto"/>
      </w:divBdr>
    </w:div>
    <w:div w:id="212503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19AAB-D33D-4C03-A3E4-32091B26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2019-10-09T09:56:00Z</dcterms:created>
  <dcterms:modified xsi:type="dcterms:W3CDTF">2019-10-09T09:56:00Z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D1V5</vt:lpwstr>
  </property>
</Properties>
</file>