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5B4DB8" w:val="clear"/>
            <w:tcMar>
              <w:top w:type="dxa" w:w="320"/>
              <w:left w:type="dxa" w:w="400"/>
              <w:bottom w:type="dxa" w:w="320"/>
              <w:right w:type="dxa" w:w="400"/>
            </w:tcMar>
          </w:tcPr>
          <w:p>
            <w:pPr>
              <w:spacing w:after="100" w:before="0"/>
            </w:pPr>
            <w:r>
              <w:rPr>
                <w:rFonts w:ascii="Arial" w:cs="Arial" w:eastAsia="Arial" w:hAnsi="Arial"/>
                <w:b/>
                <w:bCs/>
                <w:color w:val="FFFFFF"/>
                <w:sz w:val="40"/>
                <w:szCs w:val="40"/>
              </w:rPr>
              <w:t xml:space="preserve">치과 지르코니아 밀링 잔재 국내 사업화</w:t>
            </w:r>
          </w:p>
          <w:p>
            <w:pPr>
              <w:spacing w:after="80" w:before="0"/>
            </w:pPr>
            <w:r>
              <w:rPr>
                <w:rFonts w:ascii="Arial" w:cs="Arial" w:eastAsia="Arial" w:hAnsi="Arial"/>
                <w:color w:val="D0CCFF"/>
                <w:sz w:val="26"/>
                <w:szCs w:val="26"/>
              </w:rPr>
              <w:t xml:space="preserve">사업 기회 분석 보고서</w:t>
            </w:r>
          </w:p>
          <w:p>
            <w:pPr>
              <w:spacing w:after="0" w:before="0"/>
            </w:pPr>
            <w:r>
              <w:rPr>
                <w:rFonts w:ascii="Arial" w:cs="Arial" w:eastAsia="Arial" w:hAnsi="Arial"/>
                <w:color w:val="B0AAEE"/>
                <w:sz w:val="20"/>
                <w:szCs w:val="20"/>
              </w:rPr>
              <w:t xml:space="preserve">2025  |  초안</w:t>
            </w:r>
          </w:p>
        </w:tc>
      </w:tr>
    </w:tbl>
    <w:p>
      <w:pPr>
        <w:spacing w:after="0" w:before="20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1. 문제 정의</w:t>
      </w:r>
    </w:p>
    <w:p>
      <w:pPr>
        <w:spacing w:after="60" w:before="60"/>
      </w:pPr>
      <w:r>
        <w:rPr>
          <w:rFonts w:ascii="Arial" w:cs="Arial" w:eastAsia="Arial" w:hAnsi="Arial"/>
          <w:color w:val="1A1A1A"/>
          <w:sz w:val="22"/>
          <w:szCs w:val="22"/>
        </w:rPr>
        <w:t xml:space="preserve">디지털 치과 전환이 가속화되면서 전국 치과 기공소와 치과 병원에서 CAD/CAM 밀링 후 발생하는 지르코니아(ZrO₂) 잔재가 급증하고 있다. 블록 하나를 밀링할 때마다 원재료의 약 30~43%가 분진·조각 형태로 남지만, 이를 자원화하는 국내 사업자는 현재 전무하다.</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구분</w:t>
            </w:r>
          </w:p>
        </w:tc>
        <w:tc>
          <w:tcPr>
            <w:tcW w:type="dxa" w:w="732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내용</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발생원</w:t>
            </w:r>
          </w:p>
        </w:tc>
        <w:tc>
          <w:tcPr>
            <w:tcW w:type="dxa" w:w="7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전국 치과 기공소 약 7,000개 + 치과 병원 내 체어사이드 밀링</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소재</w:t>
            </w:r>
          </w:p>
        </w:tc>
        <w:tc>
          <w:tcPr>
            <w:tcW w:type="dxa" w:w="7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이트리아 안정화 지르코니아(3Y-TZP) — 고강도 세라믹 소재</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발생량</w:t>
            </w:r>
          </w:p>
        </w:tc>
        <w:tc>
          <w:tcPr>
            <w:tcW w:type="dxa" w:w="7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블록 1개당 잔재 약 3~6g / 기공소 1개소 월 약 450g~1.8kg 추정</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현황</w:t>
            </w:r>
          </w:p>
        </w:tc>
        <w:tc>
          <w:tcPr>
            <w:tcW w:type="dxa" w:w="7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전량 의료폐기물 또는 일반폐기물로 폐기 — 재활용 인프라 국내 전무</w:t>
            </w:r>
          </w:p>
        </w:tc>
      </w:tr>
    </w:tbl>
    <w:p>
      <w:pPr>
        <w:spacing w:after="0" w:before="16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2. 시장 기회</w:t>
      </w:r>
    </w:p>
    <w:p>
      <w:pPr>
        <w:pStyle w:val="Heading2"/>
        <w:spacing w:after="120" w:before="240"/>
      </w:pPr>
      <w:r>
        <w:rPr>
          <w:rFonts w:ascii="Arial" w:cs="Arial" w:eastAsia="Arial" w:hAnsi="Arial"/>
          <w:b/>
          <w:bCs/>
          <w:color w:val="0F6E56"/>
          <w:sz w:val="26"/>
          <w:szCs w:val="26"/>
        </w:rPr>
        <w:t xml:space="preserve">2-1. 디지털 치과 성장</w:t>
      </w:r>
    </w:p>
    <w:p>
      <w:pPr>
        <w:spacing w:after="60" w:before="60"/>
      </w:pPr>
      <w:r>
        <w:rPr>
          <w:rFonts w:ascii="Arial" w:cs="Arial" w:eastAsia="Arial" w:hAnsi="Arial"/>
          <w:color w:val="1A1A1A"/>
          <w:sz w:val="22"/>
          <w:szCs w:val="22"/>
        </w:rPr>
        <w:t xml:space="preserve">국내 치과 기공소의 약 70~80%가 디지털 장비를 도입했으며, 전체 기공 제작물의 80% 이상이 디지털 워크플로우로 제작된다. 지르코니아는 금 크라운을 빠르게 대체하는 소재로, 적용 비중이 해마다 증가하고 있어 폐기물 발생량도 함께 늘어나는 구조다.</w:t>
      </w:r>
    </w:p>
    <w:p>
      <w:pPr>
        <w:pStyle w:val="Heading2"/>
        <w:spacing w:after="120" w:before="240"/>
      </w:pPr>
      <w:r>
        <w:rPr>
          <w:rFonts w:ascii="Arial" w:cs="Arial" w:eastAsia="Arial" w:hAnsi="Arial"/>
          <w:b/>
          <w:bCs/>
          <w:color w:val="0F6E56"/>
          <w:sz w:val="26"/>
          <w:szCs w:val="26"/>
        </w:rPr>
        <w:t xml:space="preserve">2-2. 해외 선행 사례</w:t>
      </w:r>
    </w:p>
    <w:p>
      <w:pPr>
        <w:spacing w:after="60" w:before="60"/>
      </w:pPr>
      <w:r>
        <w:rPr>
          <w:rFonts w:ascii="Arial" w:cs="Arial" w:eastAsia="Arial" w:hAnsi="Arial"/>
          <w:color w:val="1A1A1A"/>
          <w:sz w:val="22"/>
          <w:szCs w:val="22"/>
        </w:rPr>
        <w:t xml:space="preserve">미국 Glidewell Laboratories는 2011년부터 BruxZir Recycling Program을 운영하며 파운드당 $2에 밀링 잔재를 매입, 재소결 처리 후 신규 블록으로 재판매한다. 학술 연구(PubMed, 2021)에서는 950~1000°C 프리소결 처리만으로 재생 블록의 굴곡강도가 신품(904 MPa) 대비 97%(897 MPa) 수준을 유지함을 확인했다.</w:t>
      </w:r>
    </w:p>
    <w:p>
      <w:pPr>
        <w:pStyle w:val="Heading2"/>
        <w:spacing w:after="120" w:before="240"/>
      </w:pPr>
      <w:r>
        <w:rPr>
          <w:rFonts w:ascii="Arial" w:cs="Arial" w:eastAsia="Arial" w:hAnsi="Arial"/>
          <w:b/>
          <w:bCs/>
          <w:color w:val="0F6E56"/>
          <w:sz w:val="26"/>
          <w:szCs w:val="26"/>
        </w:rPr>
        <w:t xml:space="preserve">2-3. 국내 공백</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항목</w:t>
            </w:r>
          </w:p>
        </w:tc>
        <w:tc>
          <w:tcPr>
            <w:tcW w:type="dxa" w:w="324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해외(미국)</w:t>
            </w:r>
          </w:p>
        </w:tc>
        <w:tc>
          <w:tcPr>
            <w:tcW w:type="dxa" w:w="324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국내</w:t>
            </w:r>
          </w:p>
        </w:tc>
      </w:tr>
      <w:tr>
        <w:tc>
          <w:tcPr>
            <w:tcW w:type="dxa" w:w="324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사업화 기업</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Glidewell 등 다수</w:t>
            </w:r>
          </w:p>
        </w:tc>
        <w:tc>
          <w:tcPr>
            <w:tcW w:type="dxa" w:w="324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color w:val="993C1D"/>
                <w:sz w:val="20"/>
                <w:szCs w:val="20"/>
              </w:rPr>
              <w:t xml:space="preserve">전무</w:t>
            </w:r>
          </w:p>
        </w:tc>
      </w:tr>
      <w:tr>
        <w:tc>
          <w:tcPr>
            <w:tcW w:type="dxa" w:w="324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학술 연구</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26편 이상 (2024 기준)</w:t>
            </w:r>
          </w:p>
        </w:tc>
        <w:tc>
          <w:tcPr>
            <w:tcW w:type="dxa" w:w="324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color w:val="993C1D"/>
                <w:sz w:val="20"/>
                <w:szCs w:val="20"/>
              </w:rPr>
              <w:t xml:space="preserve">극소수</w:t>
            </w:r>
          </w:p>
        </w:tc>
      </w:tr>
      <w:tr>
        <w:tc>
          <w:tcPr>
            <w:tcW w:type="dxa" w:w="324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수거 프로그램</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파운드당 $2 현금 지급</w:t>
            </w:r>
          </w:p>
        </w:tc>
        <w:tc>
          <w:tcPr>
            <w:tcW w:type="dxa" w:w="324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color w:val="993C1D"/>
                <w:sz w:val="20"/>
                <w:szCs w:val="20"/>
              </w:rPr>
              <w:t xml:space="preserve">없음</w:t>
            </w:r>
          </w:p>
        </w:tc>
      </w:tr>
      <w:tr>
        <w:tc>
          <w:tcPr>
            <w:tcW w:type="dxa" w:w="324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협회 연계</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개별 랩 직접 수거</w:t>
            </w:r>
          </w:p>
        </w:tc>
        <w:tc>
          <w:tcPr>
            <w:tcW w:type="dxa" w:w="324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color w:val="993C1D"/>
                <w:sz w:val="20"/>
                <w:szCs w:val="20"/>
              </w:rPr>
              <w:t xml:space="preserve">미구축</w:t>
            </w:r>
          </w:p>
        </w:tc>
      </w:tr>
    </w:tbl>
    <w:p>
      <w:pPr>
        <w:spacing w:after="0" w:before="16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3. 문제-솔루션 핏 평가</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820"/>
      </w:tblGrid>
      <w:tr>
        <w:tc>
          <w:tcPr>
            <w:tcW w:type="dxa" w:w="35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평가 기준</w:t>
            </w:r>
          </w:p>
        </w:tc>
        <w:tc>
          <w:tcPr>
            <w:tcW w:type="dxa" w:w="14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판정</w:t>
            </w:r>
          </w:p>
        </w:tc>
        <w:tc>
          <w:tcPr>
            <w:tcW w:type="dxa" w:w="482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근거</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특정 고객군이 명확한가</w:t>
            </w:r>
          </w:p>
        </w:tc>
        <w:tc>
          <w:tcPr>
            <w:tcW w:type="dxa" w:w="1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center"/>
            </w:pPr>
            <w:r>
              <w:rPr>
                <w:rFonts w:ascii="Arial" w:cs="Arial" w:eastAsia="Arial" w:hAnsi="Arial"/>
                <w:color w:val="0F6E56"/>
                <w:sz w:val="20"/>
                <w:szCs w:val="20"/>
              </w:rPr>
              <w:t xml:space="preserve">✅ 충족</w:t>
            </w:r>
          </w:p>
        </w:tc>
        <w:tc>
          <w:tcPr>
            <w:tcW w:type="dxa" w:w="4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협회 등록 기공소 ~7,000개 — 명확히 식별 가능</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반복적으로 발생하는가</w:t>
            </w:r>
          </w:p>
        </w:tc>
        <w:tc>
          <w:tcPr>
            <w:tcW w:type="dxa" w:w="1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center"/>
            </w:pPr>
            <w:r>
              <w:rPr>
                <w:rFonts w:ascii="Arial" w:cs="Arial" w:eastAsia="Arial" w:hAnsi="Arial"/>
                <w:color w:val="0F6E56"/>
                <w:sz w:val="20"/>
                <w:szCs w:val="20"/>
              </w:rPr>
              <w:t xml:space="preserve">✅ 충족</w:t>
            </w:r>
          </w:p>
        </w:tc>
        <w:tc>
          <w:tcPr>
            <w:tcW w:type="dxa" w:w="4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밀링 시마다 매일 발생, 디지털 전환 가속으로 증가 추세</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현재 대안이 불충분한가</w:t>
            </w:r>
          </w:p>
        </w:tc>
        <w:tc>
          <w:tcPr>
            <w:tcW w:type="dxa" w:w="1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center"/>
            </w:pPr>
            <w:r>
              <w:rPr>
                <w:rFonts w:ascii="Arial" w:cs="Arial" w:eastAsia="Arial" w:hAnsi="Arial"/>
                <w:color w:val="0F6E56"/>
                <w:sz w:val="20"/>
                <w:szCs w:val="20"/>
              </w:rPr>
              <w:t xml:space="preserve">✅ 충족</w:t>
            </w:r>
          </w:p>
        </w:tc>
        <w:tc>
          <w:tcPr>
            <w:tcW w:type="dxa" w:w="4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현재 대안 = 전량 폐기. 재활용 인프라 국내 전무</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고객이 비용을 쓰고 있나</w:t>
            </w:r>
          </w:p>
        </w:tc>
        <w:tc>
          <w:tcPr>
            <w:tcW w:type="dxa" w:w="14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center"/>
          </w:tcPr>
          <w:p>
            <w:pPr>
              <w:jc w:val="center"/>
            </w:pPr>
            <w:r>
              <w:rPr>
                <w:rFonts w:ascii="Arial" w:cs="Arial" w:eastAsia="Arial" w:hAnsi="Arial"/>
                <w:color w:val="BA7517"/>
                <w:sz w:val="20"/>
                <w:szCs w:val="20"/>
              </w:rPr>
              <w:t xml:space="preserve">⚠️ 부분</w:t>
            </w:r>
          </w:p>
        </w:tc>
        <w:tc>
          <w:tcPr>
            <w:tcW w:type="dxa" w:w="4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폐기 비용 직접 지불 없음. 소재 구매 비용은 매달 발생</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인터뷰로 반복 확인되는가</w:t>
            </w:r>
          </w:p>
        </w:tc>
        <w:tc>
          <w:tcPr>
            <w:tcW w:type="dxa" w:w="14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center"/>
            </w:pPr>
            <w:r>
              <w:rPr>
                <w:rFonts w:ascii="Arial" w:cs="Arial" w:eastAsia="Arial" w:hAnsi="Arial"/>
                <w:color w:val="993C1D"/>
                <w:sz w:val="20"/>
                <w:szCs w:val="20"/>
              </w:rPr>
              <w:t xml:space="preserve">❌ 미검증</w:t>
            </w:r>
          </w:p>
        </w:tc>
        <w:tc>
          <w:tcPr>
            <w:tcW w:type="dxa" w:w="4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현장 인터뷰 미실시 — 최우선 검증 필요 항목</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40"/>
              <w:bottom w:type="dxa" w:w="160"/>
              <w:right w:type="dxa" w:w="240"/>
            </w:tcMar>
          </w:tcPr>
          <w:p>
            <w:pPr>
              <w:spacing w:after="80" w:before="0"/>
            </w:pPr>
            <w:r>
              <w:rPr>
                <w:rFonts w:ascii="Arial" w:cs="Arial" w:eastAsia="Arial" w:hAnsi="Arial"/>
                <w:b/>
                <w:bCs/>
                <w:color w:val="993C1D"/>
                <w:sz w:val="22"/>
                <w:szCs w:val="22"/>
              </w:rPr>
              <w:t xml:space="preserve">핵심 리스크</w:t>
            </w:r>
          </w:p>
          <w:p>
            <w:pPr>
              <w:spacing w:after="0" w:before="0"/>
            </w:pPr>
            <w:r>
              <w:rPr>
                <w:rFonts w:ascii="Arial" w:cs="Arial" w:eastAsia="Arial" w:hAnsi="Arial"/>
                <w:color w:val="5F5E5A"/>
                <w:sz w:val="20"/>
                <w:szCs w:val="20"/>
              </w:rPr>
              <w:t xml:space="preserve">기공소가 지르코니아 잔재를 '문제'로 인식하는지 미검증. 원래부터 버리던 것이라 페인포인트가 없을 수 있으며, 소액 인센티브로 행동 변화를 유도할 수 있는지는 현장 인터뷰를 통해 반드시 확인해야 한다.</w:t>
            </w:r>
          </w:p>
        </w:tc>
      </w:tr>
    </w:tbl>
    <w:p>
      <w:pPr>
        <w:spacing w:after="0" w:before="0"/>
      </w:pPr>
      <w:r>
        <w:br w:type="page"/>
      </w:r>
    </w:p>
    <w:p>
      <w:pPr>
        <w:sectPr>
          <w:pgSz w:w="12240" w:h="15840" w:orient="portrait"/>
          <w:pgMar w:top="1080" w:right="1260" w:bottom="1080" w:left="1260" w:header="708" w:footer="708" w:gutter="0"/>
          <w:pgNumType/>
          <w:docGrid w:linePitch="360"/>
        </w:sectPr>
      </w:pPr>
    </w:p>
    <w:p>
      <w:pPr>
        <w:pStyle w:val="Heading1"/>
        <w:pBdr>
          <w:bottom w:val="single" w:color="5B4DB8" w:sz="8" w:space="4"/>
        </w:pBdr>
        <w:spacing w:after="160" w:before="320"/>
      </w:pPr>
      <w:r>
        <w:rPr>
          <w:rFonts w:ascii="Arial" w:cs="Arial" w:eastAsia="Arial" w:hAnsi="Arial"/>
          <w:b/>
          <w:bCs/>
          <w:color w:val="5B4DB8"/>
          <w:sz w:val="32"/>
          <w:szCs w:val="32"/>
        </w:rPr>
        <w:t xml:space="preserve">4. 비즈니스 모델 구조</w:t>
      </w:r>
    </w:p>
    <w:p>
      <w:pPr>
        <w:spacing w:after="60" w:before="60"/>
      </w:pPr>
      <w:r>
        <w:rPr>
          <w:rFonts w:ascii="Arial" w:cs="Arial" w:eastAsia="Arial" w:hAnsi="Arial"/>
          <w:color w:val="1A1A1A"/>
          <w:sz w:val="22"/>
          <w:szCs w:val="22"/>
        </w:rPr>
        <w:t xml:space="preserve">협회 파트너십을 레버리지로 활용한 수직통합 모델이다. 수거 → 가공 → 판매를 단계적으로 구축하며, 초기에는 수거 구독료로 현금흐름을 만들고 이후 재생 블록 재판매로 마진을 높인다.</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단계</w:t>
            </w:r>
          </w:p>
        </w:tc>
        <w:tc>
          <w:tcPr>
            <w:tcW w:type="dxa" w:w="396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내용</w:t>
            </w:r>
          </w:p>
        </w:tc>
        <w:tc>
          <w:tcPr>
            <w:tcW w:type="dxa" w:w="396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수익원</w:t>
            </w:r>
          </w:p>
        </w:tc>
      </w:tr>
      <w:tr>
        <w:tc>
          <w:tcPr>
            <w:tcW w:type="dxa" w:w="18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color w:val="5B4DB8"/>
                <w:sz w:val="20"/>
                <w:szCs w:val="20"/>
              </w:rPr>
              <w:t xml:space="preserve">1단계
(0~6M)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협회 파트너십 체결 → 서울·경기 기공소 20~30개 파일럿 수거 프로그램 운영</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월정액 수거 구독료 (기공소당 1~3만원)</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color w:val="0F6E56"/>
                <w:sz w:val="20"/>
                <w:szCs w:val="20"/>
              </w:rPr>
              <w:t xml:space="preserve">2단계
(6~18M)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분쇄·분류 공정 구축 → 산업용 소재(세라믹·내화재) B2B 매각</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소재 매각 수익 + 구독료 누적</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center"/>
          </w:tcPr>
          <w:p>
            <w:pPr>
              <w:jc w:val="left"/>
            </w:pPr>
            <w:r>
              <w:rPr>
                <w:rFonts w:ascii="Arial" w:cs="Arial" w:eastAsia="Arial" w:hAnsi="Arial"/>
                <w:color w:val="BA7517"/>
                <w:sz w:val="20"/>
                <w:szCs w:val="20"/>
              </w:rPr>
              <w:t xml:space="preserve">3단계
(18M~)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재소결 장비 투자 → 재생 지르코니아 블록 치과·기공소 재판매</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재생 블록 판매 마진 (신품 대비 30~40% 저가)</w:t>
            </w:r>
          </w:p>
        </w:tc>
      </w:tr>
    </w:tbl>
    <w:p>
      <w:pPr>
        <w:spacing w:after="0" w:before="16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5. 수익성 분석</w:t>
      </w:r>
    </w:p>
    <w:p>
      <w:pPr>
        <w:pStyle w:val="Heading2"/>
        <w:spacing w:after="120" w:before="240"/>
      </w:pPr>
      <w:r>
        <w:rPr>
          <w:rFonts w:ascii="Arial" w:cs="Arial" w:eastAsia="Arial" w:hAnsi="Arial"/>
          <w:b/>
          <w:bCs/>
          <w:color w:val="0F6E56"/>
          <w:sz w:val="26"/>
          <w:szCs w:val="26"/>
        </w:rPr>
        <w:t xml:space="preserve">5-1. 발생량 및 매출 추정</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620"/>
      </w:tblGrid>
      <w:tr>
        <w:tc>
          <w:tcPr>
            <w:tcW w:type="dxa" w:w="28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항목</w:t>
            </w:r>
          </w:p>
        </w:tc>
        <w:tc>
          <w:tcPr>
            <w:tcW w:type="dxa" w:w="23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수치</w:t>
            </w:r>
          </w:p>
        </w:tc>
        <w:tc>
          <w:tcPr>
            <w:tcW w:type="dxa" w:w="462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비고</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기공소 1개소 월 잔재</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450g~1.8kg</w:t>
            </w:r>
          </w:p>
        </w:tc>
        <w:tc>
          <w:tcPr>
            <w:tcW w:type="dxa" w:w="4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크라운 5~10개/일 기준 추정</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지르코니아 분말 매입가</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$20~30/kg</w:t>
            </w:r>
          </w:p>
        </w:tc>
        <w:tc>
          <w:tcPr>
            <w:tcW w:type="dxa" w:w="4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폐잔재 기준 하단 적용</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기공소 100개 월 매출 (소재)</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약 150만원</w:t>
            </w:r>
          </w:p>
        </w:tc>
        <w:tc>
          <w:tcPr>
            <w:tcW w:type="dxa" w:w="4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45kg × $25 수준 — 물류비 미커버 가능성</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수거 구독 500개 월 매출</w:t>
            </w:r>
          </w:p>
        </w:tc>
        <w:tc>
          <w:tcPr>
            <w:tcW w:type="dxa" w:w="23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center"/>
            </w:pPr>
            <w:r>
              <w:rPr>
                <w:rFonts w:ascii="Arial" w:cs="Arial" w:eastAsia="Arial" w:hAnsi="Arial"/>
                <w:color w:val="0F6E56"/>
                <w:sz w:val="20"/>
                <w:szCs w:val="20"/>
              </w:rPr>
              <w:t xml:space="preserve">약 1,000만원</w:t>
            </w:r>
          </w:p>
        </w:tc>
        <w:tc>
          <w:tcPr>
            <w:tcW w:type="dxa" w:w="4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기공소당 2만원 기준 — 손익분기 진입</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재생 블록 마진 (추정)</w:t>
            </w:r>
          </w:p>
        </w:tc>
        <w:tc>
          <w:tcPr>
            <w:tcW w:type="dxa" w:w="23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center"/>
          </w:tcPr>
          <w:p>
            <w:pPr>
              <w:jc w:val="center"/>
            </w:pPr>
            <w:r>
              <w:rPr>
                <w:rFonts w:ascii="Arial" w:cs="Arial" w:eastAsia="Arial" w:hAnsi="Arial"/>
                <w:color w:val="BA7517"/>
                <w:sz w:val="20"/>
                <w:szCs w:val="20"/>
              </w:rPr>
              <w:t xml:space="preserve">개당 2~4만원</w:t>
            </w:r>
          </w:p>
        </w:tc>
        <w:tc>
          <w:tcPr>
            <w:tcW w:type="dxa" w:w="4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신품 대비 40% 할인 판매 시</w:t>
            </w:r>
          </w:p>
        </w:tc>
      </w:tr>
    </w:tbl>
    <w:p>
      <w:pPr>
        <w:spacing w:after="0" w:before="120"/>
      </w:pPr>
      <w:r>
        <w:t xml:space="preserve"/>
      </w:r>
    </w:p>
    <w:p>
      <w:pPr>
        <w:pStyle w:val="Heading2"/>
        <w:spacing w:after="120" w:before="240"/>
      </w:pPr>
      <w:r>
        <w:rPr>
          <w:rFonts w:ascii="Arial" w:cs="Arial" w:eastAsia="Arial" w:hAnsi="Arial"/>
          <w:b/>
          <w:bCs/>
          <w:color w:val="0F6E56"/>
          <w:sz w:val="26"/>
          <w:szCs w:val="26"/>
        </w:rPr>
        <w:t xml:space="preserve">5-2. 수익성 판단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80" w:before="0"/>
            </w:pPr>
            <w:r>
              <w:rPr>
                <w:rFonts w:ascii="Arial" w:cs="Arial" w:eastAsia="Arial" w:hAnsi="Arial"/>
                <w:b/>
                <w:bCs/>
                <w:color w:val="BA7517"/>
                <w:sz w:val="22"/>
                <w:szCs w:val="22"/>
              </w:rPr>
              <w:t xml:space="preserve">손익분기점</w:t>
            </w:r>
          </w:p>
          <w:p>
            <w:pPr>
              <w:spacing w:after="0" w:before="0"/>
            </w:pPr>
            <w:r>
              <w:rPr>
                <w:rFonts w:ascii="Arial" w:cs="Arial" w:eastAsia="Arial" w:hAnsi="Arial"/>
                <w:color w:val="5F5E5A"/>
                <w:sz w:val="20"/>
                <w:szCs w:val="20"/>
              </w:rPr>
              <w:t xml:space="preserve">소재 매각만으로는 수익성 확보 어려움. 수거 구독료 기준 기공소 300~500개 확보 시 손익분기 도달 가능. 재생 블록 판매 단계에서 실질 마진 발생 — 재소결 장비 투자(수천만원 수준) 필요.</w:t>
            </w:r>
          </w:p>
        </w:tc>
      </w:tr>
    </w:tbl>
    <w:p>
      <w:pPr>
        <w:spacing w:after="0" w:before="12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6. 린 스타트업 실행 로드맵</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920"/>
      </w:tblGrid>
      <w:tr>
        <w:tc>
          <w:tcPr>
            <w:tcW w:type="dxa" w:w="18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타임라인</w:t>
            </w:r>
          </w:p>
        </w:tc>
        <w:tc>
          <w:tcPr>
            <w:tcW w:type="dxa" w:w="500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액션</w:t>
            </w:r>
          </w:p>
        </w:tc>
        <w:tc>
          <w:tcPr>
            <w:tcW w:type="dxa" w:w="2920"/>
            <w:tcBorders>
              <w:top w:val="single" w:color="CCCCCC" w:sz="1"/>
              <w:left w:val="single" w:color="CCCCCC" w:sz="1"/>
              <w:bottom w:val="single" w:color="CCCCCC" w:sz="1"/>
              <w:right w:val="single" w:color="CCCCCC" w:sz="1"/>
            </w:tcBorders>
            <w:shd w:fill="5B4DB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검증 목표</w:t>
            </w:r>
          </w:p>
        </w:tc>
      </w:tr>
      <w:tr>
        <w:tc>
          <w:tcPr>
            <w:tcW w:type="dxa" w:w="18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color w:val="5B4DB8"/>
                <w:sz w:val="20"/>
                <w:szCs w:val="20"/>
              </w:rPr>
              <w:t xml:space="preserve">즉시</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대한치과기공사협회 사무국 미팅 요청 / 기공소 5~10곳 직접 방문 인터뷰</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문제 인식 여부 확인</w:t>
            </w:r>
          </w:p>
        </w:tc>
      </w:tr>
      <w:tr>
        <w:tc>
          <w:tcPr>
            <w:tcW w:type="dxa" w:w="18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color w:val="5B4DB8"/>
                <w:sz w:val="20"/>
                <w:szCs w:val="20"/>
              </w:rPr>
              <w:t xml:space="preserve">1개월</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기공소 현장에서 월 발생량 직접 계측 / 소재 기업 2~3곳 접촉하여 매입가 확인</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발생량·단가 실측</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color w:val="0F6E56"/>
                <w:sz w:val="20"/>
                <w:szCs w:val="20"/>
              </w:rPr>
              <w:t xml:space="preserve">2개월</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수거 키트 시제품 제작(박스+라벨, ~50만원) / 파일럿 기공소 10곳 무료 수거 시작</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수거 참여율 검증</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color w:val="0F6E56"/>
                <w:sz w:val="20"/>
                <w:szCs w:val="20"/>
              </w:rPr>
              <w:t xml:space="preserve">3개월</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수거량·품질 데이터 취합 / 협회 파트너십 공식 제안서 작성</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협회 반응 및 확산 가능성</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center"/>
          </w:tcPr>
          <w:p>
            <w:pPr>
              <w:jc w:val="left"/>
            </w:pPr>
            <w:r>
              <w:rPr>
                <w:rFonts w:ascii="Arial" w:cs="Arial" w:eastAsia="Arial" w:hAnsi="Arial"/>
                <w:color w:val="BA7517"/>
                <w:sz w:val="20"/>
                <w:szCs w:val="20"/>
              </w:rPr>
              <w:t xml:space="preserve">6개월</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파일럿 결과 기반 협회 정식 프로그램화 제안 / KDTEX 전시회 참가 검토</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전국 확산 레버리지 확보</w:t>
            </w:r>
          </w:p>
        </w:tc>
      </w:tr>
    </w:tbl>
    <w:p>
      <w:pPr>
        <w:spacing w:after="0" w:before="160"/>
      </w:pPr>
      <w:r>
        <w:t xml:space="preserve"/>
      </w:r>
    </w:p>
    <w:p>
      <w:pPr>
        <w:pStyle w:val="Heading1"/>
        <w:pBdr>
          <w:bottom w:val="single" w:color="5B4DB8" w:sz="8" w:space="4"/>
        </w:pBdr>
        <w:spacing w:after="160" w:before="320"/>
      </w:pPr>
      <w:r>
        <w:rPr>
          <w:rFonts w:ascii="Arial" w:cs="Arial" w:eastAsia="Arial" w:hAnsi="Arial"/>
          <w:b/>
          <w:bCs/>
          <w:color w:val="5B4DB8"/>
          <w:sz w:val="32"/>
          <w:szCs w:val="32"/>
        </w:rPr>
        <w:t xml:space="preserve">7. 결론 및 권고사항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pPr>
              <w:spacing w:after="80" w:before="0"/>
            </w:pPr>
            <w:r>
              <w:rPr>
                <w:rFonts w:ascii="Arial" w:cs="Arial" w:eastAsia="Arial" w:hAnsi="Arial"/>
                <w:b/>
                <w:bCs/>
                <w:color w:val="5B4DB8"/>
                <w:sz w:val="22"/>
                <w:szCs w:val="22"/>
              </w:rPr>
              <w:t xml:space="preserve">종합 판단</w:t>
            </w:r>
          </w:p>
          <w:p>
            <w:pPr>
              <w:spacing w:after="0" w:before="0"/>
            </w:pPr>
            <w:r>
              <w:rPr>
                <w:rFonts w:ascii="Arial" w:cs="Arial" w:eastAsia="Arial" w:hAnsi="Arial"/>
                <w:color w:val="5F5E5A"/>
                <w:sz w:val="20"/>
                <w:szCs w:val="20"/>
              </w:rPr>
              <w:t xml:space="preserve">지르코니아 밀링 잔재 사업화는 기술적 실현 가능성은 높고 국내 경쟁자가 없는 블루오션이나, 수요 양쪽(공급자인 기공소, 구매자인 재판매처) 모두 미검증 상태다. 수익성은 네트워크 규모에 달려 있으며, 대한치과기공사협회 파트너십이 임계점 돌파의 핵심 레버리지다.</w:t>
            </w:r>
          </w:p>
        </w:tc>
      </w:tr>
    </w:tbl>
    <w:p>
      <w:pPr>
        <w:spacing w:after="0" w:before="100"/>
      </w:pPr>
      <w:r>
        <w:t xml:space="preserve"/>
      </w:r>
    </w:p>
    <w:p>
      <w:pPr>
        <w:pStyle w:val="ListParagraph"/>
        <w:numPr>
          <w:ilvl w:val="0"/>
          <w:numId w:val="2"/>
        </w:numPr>
        <w:spacing w:after="40" w:before="40"/>
      </w:pPr>
      <w:r>
        <w:rPr>
          <w:rFonts w:ascii="Arial" w:cs="Arial" w:eastAsia="Arial" w:hAnsi="Arial"/>
          <w:b/>
          <w:bCs/>
          <w:color w:val="5B4DB8"/>
          <w:sz w:val="22"/>
          <w:szCs w:val="22"/>
        </w:rPr>
        <w:t xml:space="preserve">① </w:t>
      </w:r>
      <w:r>
        <w:rPr>
          <w:rFonts w:ascii="Arial" w:cs="Arial" w:eastAsia="Arial" w:hAnsi="Arial"/>
          <w:color w:val="1A1A1A"/>
          <w:sz w:val="22"/>
          <w:szCs w:val="22"/>
        </w:rPr>
        <w:t xml:space="preserve">지금 당장 기공소 현장 인터뷰를 시작하라 — 문제 인식 여부가 사업의 존재 근거를 결정한다.</w:t>
      </w:r>
    </w:p>
    <w:p>
      <w:pPr>
        <w:pStyle w:val="ListParagraph"/>
        <w:numPr>
          <w:ilvl w:val="0"/>
          <w:numId w:val="2"/>
        </w:numPr>
        <w:spacing w:after="40" w:before="40"/>
      </w:pPr>
      <w:r>
        <w:rPr>
          <w:rFonts w:ascii="Arial" w:cs="Arial" w:eastAsia="Arial" w:hAnsi="Arial"/>
          <w:b/>
          <w:bCs/>
          <w:color w:val="5B4DB8"/>
          <w:sz w:val="22"/>
          <w:szCs w:val="22"/>
        </w:rPr>
        <w:t xml:space="preserve">② </w:t>
      </w:r>
      <w:r>
        <w:rPr>
          <w:rFonts w:ascii="Arial" w:cs="Arial" w:eastAsia="Arial" w:hAnsi="Arial"/>
          <w:color w:val="1A1A1A"/>
          <w:sz w:val="22"/>
          <w:szCs w:val="22"/>
        </w:rPr>
        <w:t xml:space="preserve">소재 기업 매입가를 먼저 확인하라 — 수익 방정식의 바닥을 결정하는 단일 변수다.</w:t>
      </w:r>
    </w:p>
    <w:p>
      <w:pPr>
        <w:pStyle w:val="ListParagraph"/>
        <w:numPr>
          <w:ilvl w:val="0"/>
          <w:numId w:val="2"/>
        </w:numPr>
        <w:spacing w:after="40" w:before="40"/>
      </w:pPr>
      <w:r>
        <w:rPr>
          <w:rFonts w:ascii="Arial" w:cs="Arial" w:eastAsia="Arial" w:hAnsi="Arial"/>
          <w:b/>
          <w:bCs/>
          <w:color w:val="5B4DB8"/>
          <w:sz w:val="22"/>
          <w:szCs w:val="22"/>
        </w:rPr>
        <w:t xml:space="preserve">③ </w:t>
      </w:r>
      <w:r>
        <w:rPr>
          <w:rFonts w:ascii="Arial" w:cs="Arial" w:eastAsia="Arial" w:hAnsi="Arial"/>
          <w:color w:val="1A1A1A"/>
          <w:sz w:val="22"/>
          <w:szCs w:val="22"/>
        </w:rPr>
        <w:t xml:space="preserve">협회는 영업 채널이 아닌 공식 파트너로 접근하라 — ESG 인증·수익 보전 프레임으로 협회의 유인을 설계해야 한다.</w:t>
      </w:r>
    </w:p>
    <w:p>
      <w:pPr>
        <w:pStyle w:val="ListParagraph"/>
        <w:numPr>
          <w:ilvl w:val="0"/>
          <w:numId w:val="2"/>
        </w:numPr>
        <w:spacing w:after="40" w:before="40"/>
      </w:pPr>
      <w:r>
        <w:rPr>
          <w:rFonts w:ascii="Arial" w:cs="Arial" w:eastAsia="Arial" w:hAnsi="Arial"/>
          <w:b/>
          <w:bCs/>
          <w:color w:val="5B4DB8"/>
          <w:sz w:val="22"/>
          <w:szCs w:val="22"/>
        </w:rPr>
        <w:t xml:space="preserve">④ </w:t>
      </w:r>
      <w:r>
        <w:rPr>
          <w:rFonts w:ascii="Arial" w:cs="Arial" w:eastAsia="Arial" w:hAnsi="Arial"/>
          <w:color w:val="1A1A1A"/>
          <w:sz w:val="22"/>
          <w:szCs w:val="22"/>
        </w:rPr>
        <w:t xml:space="preserve">린하게 시작하되 네트워크 확장 속도를 KPI로 설정하라 — 소규모 단계에서 수익성을 기대하지 말고 기공소 300개 돌파를 1차 목표로 삼아라.</w:t>
      </w:r>
    </w:p>
    <w:p>
      <w:pPr>
        <w:spacing w:after="0" w:before="160"/>
      </w:pPr>
      <w:r>
        <w:t xml:space="preserve"/>
      </w:r>
    </w:p>
    <w:p>
      <w:pPr>
        <w:pBdr>
          <w:top w:val="single" w:color="5B4DB8" w:sz="4" w:space="4"/>
        </w:pBdr>
        <w:spacing w:after="80" w:before="40"/>
      </w:pPr>
      <w:r>
        <w:t xml:space="preserve"/>
      </w:r>
    </w:p>
    <w:p>
      <w:pPr>
        <w:jc w:val="center"/>
      </w:pPr>
      <w:r>
        <w:rPr>
          <w:rFonts w:ascii="Arial" w:cs="Arial" w:eastAsia="Arial" w:hAnsi="Arial"/>
          <w:i/>
          <w:iCs/>
          <w:color w:val="5F5E5A"/>
          <w:sz w:val="18"/>
          <w:szCs w:val="18"/>
        </w:rPr>
        <w:t xml:space="preserve">본 보고서는 사업 초기 가설 검증 단계의 자료이며, 현장 인터뷰 및 실측 데이터로 업데이트가 필요합니다.</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sz w:val="32"/>
      <w:szCs w:val="32"/>
    </w:rPr>
  </w:style>
  <w:style w:type="paragraph" w:styleId="Heading2">
    <w:name w:val="Heading 2"/>
    <w:basedOn w:val="Normal"/>
    <w:next w:val="Normal"/>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2026-04-27T07:50:11.390Z</dcterms:created>
  <dcterms:modified xsi:type="dcterms:W3CDTF">2026-04-27T07:50:11.391Z</dcterms:modified>
</cp:coreProperties>
</file>

<file path=docProps/custom.xml><?xml version="1.0" encoding="utf-8"?>
<Properties xmlns="http://schemas.openxmlformats.org/officeDocument/2006/custom-properties" xmlns:vt="http://schemas.openxmlformats.org/officeDocument/2006/docPropsVTypes"/>
</file>