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1809750</wp:posOffset>
            </wp:positionH>
            <wp:positionV relativeFrom="paragraph">
              <wp:posOffset>0</wp:posOffset>
            </wp:positionV>
            <wp:extent cx="2076450" cy="1041400"/>
            <wp:effectExtent b="0" l="0" r="0" t="0"/>
            <wp:wrapSquare wrapText="bothSides" distB="0" distT="0" distL="114300" distR="114300"/>
            <wp:docPr descr="ÐÐ°ÑÑÐ¸Ð½ÐºÐ¸ Ð¿Ð¾ Ð·Ð°Ð¿ÑÐ¾ÑÑ ÑÐ³Ð°Ñ Ð»Ð¾Ð³Ð¾ÑÐ¸Ð¿" id="3" name="image1.png"/>
            <a:graphic>
              <a:graphicData uri="http://schemas.openxmlformats.org/drawingml/2006/picture">
                <pic:pic>
                  <pic:nvPicPr>
                    <pic:cNvPr descr="ÐÐ°ÑÑÐ¸Ð½ÐºÐ¸ Ð¿Ð¾ Ð·Ð°Ð¿ÑÐ¾ÑÑ ÑÐ³Ð°Ñ Ð»Ð¾Ð³Ð¾ÑÐ¸Ð¿" id="0" name="image1.png"/>
                    <pic:cNvPicPr preferRelativeResize="0"/>
                  </pic:nvPicPr>
                  <pic:blipFill>
                    <a:blip r:embed="rId7"/>
                    <a:srcRect b="0" l="0" r="0" t="0"/>
                    <a:stretch>
                      <a:fillRect/>
                    </a:stretch>
                  </pic:blipFill>
                  <pic:spPr>
                    <a:xfrm>
                      <a:off x="0" y="0"/>
                      <a:ext cx="2076450" cy="1041400"/>
                    </a:xfrm>
                    <a:prstGeom prst="rect"/>
                    <a:ln/>
                  </pic:spPr>
                </pic:pic>
              </a:graphicData>
            </a:graphic>
          </wp:anchor>
        </w:drawing>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after="20" w:lineRule="auto"/>
        <w:ind w:left="567"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spacing w:after="20" w:lineRule="auto"/>
        <w:ind w:left="567"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pacing w:after="20" w:lineRule="auto"/>
        <w:ind w:left="567"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after="20" w:lineRule="auto"/>
        <w:ind w:left="567"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ФЕДЕРАЛЬНОЕ ГОСУДАРСТВЕННОЕ АВТОНОМНОЕ ОБРАЗОВАТЕЛЬНОЕ </w:t>
      </w:r>
    </w:p>
    <w:p w:rsidR="00000000" w:rsidDel="00000000" w:rsidP="00000000" w:rsidRDefault="00000000" w:rsidRPr="00000000" w14:paraId="00000007">
      <w:pPr>
        <w:spacing w:after="20" w:lineRule="auto"/>
        <w:ind w:left="567"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УЧРЕЖДЕНИЕ ВЫСШЕГО ОБРАЗОВАНИЯ </w:t>
      </w:r>
    </w:p>
    <w:p w:rsidR="00000000" w:rsidDel="00000000" w:rsidP="00000000" w:rsidRDefault="00000000" w:rsidRPr="00000000" w14:paraId="00000008">
      <w:pPr>
        <w:spacing w:after="2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"САМАРСКИЙ НАЦИОНАЛЬНЫЙ ИССЛЕДОВАТЕЛЬСКИЙ УНИВЕРСИТЕТ</w:t>
      </w:r>
    </w:p>
    <w:p w:rsidR="00000000" w:rsidDel="00000000" w:rsidP="00000000" w:rsidRDefault="00000000" w:rsidRPr="00000000" w14:paraId="00000009">
      <w:pPr>
        <w:spacing w:after="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ИМЕНИ АКАДЕМИКА С.П. КОРОЛЕВА"</w:t>
      </w:r>
    </w:p>
    <w:p w:rsidR="00000000" w:rsidDel="00000000" w:rsidP="00000000" w:rsidRDefault="00000000" w:rsidRPr="00000000" w14:paraId="0000000A">
      <w:pPr>
        <w:spacing w:after="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(САМАРСКИЙ УНИВЕРСИТЕТ)</w:t>
      </w:r>
    </w:p>
    <w:p w:rsidR="00000000" w:rsidDel="00000000" w:rsidP="00000000" w:rsidRDefault="00000000" w:rsidRPr="00000000" w14:paraId="0000000B">
      <w:pPr>
        <w:spacing w:after="2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C">
      <w:pPr>
        <w:spacing w:after="2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2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Институт двигателей и энергетических установок</w:t>
      </w:r>
    </w:p>
    <w:p w:rsidR="00000000" w:rsidDel="00000000" w:rsidP="00000000" w:rsidRDefault="00000000" w:rsidRPr="00000000" w14:paraId="0000000E">
      <w:pPr>
        <w:spacing w:after="2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Кафедра автоматических систем энергетических установок</w:t>
      </w:r>
    </w:p>
    <w:p w:rsidR="00000000" w:rsidDel="00000000" w:rsidP="00000000" w:rsidRDefault="00000000" w:rsidRPr="00000000" w14:paraId="0000000F">
      <w:pPr>
        <w:spacing w:after="20" w:lineRule="auto"/>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0">
      <w:pPr>
        <w:spacing w:after="20" w:lineRule="auto"/>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1">
      <w:pPr>
        <w:spacing w:after="20" w:lineRule="auto"/>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2">
      <w:pPr>
        <w:spacing w:after="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Отчет по лабораторной работе №4 по дисциплине</w:t>
      </w:r>
    </w:p>
    <w:p w:rsidR="00000000" w:rsidDel="00000000" w:rsidP="00000000" w:rsidRDefault="00000000" w:rsidRPr="00000000" w14:paraId="00000013">
      <w:pPr>
        <w:spacing w:after="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"Безопасность жизнедеятельности"</w:t>
      </w:r>
    </w:p>
    <w:p w:rsidR="00000000" w:rsidDel="00000000" w:rsidP="00000000" w:rsidRDefault="00000000" w:rsidRPr="00000000" w14:paraId="00000014">
      <w:pPr>
        <w:spacing w:after="2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“Оценка звукоизолирующей способности перегородки.”</w:t>
      </w:r>
    </w:p>
    <w:p w:rsidR="00000000" w:rsidDel="00000000" w:rsidP="00000000" w:rsidRDefault="00000000" w:rsidRPr="00000000" w14:paraId="00000016">
      <w:pPr>
        <w:spacing w:after="2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20" w:lineRule="auto"/>
        <w:jc w:val="center"/>
        <w:rPr>
          <w:rFonts w:ascii="Cambria" w:cs="Cambria" w:eastAsia="Cambria" w:hAnsi="Cambria"/>
          <w:sz w:val="18"/>
          <w:szCs w:val="18"/>
        </w:rPr>
      </w:pPr>
      <w:r w:rsidDel="00000000" w:rsidR="00000000" w:rsidRPr="00000000">
        <w:rPr>
          <w:rtl w:val="0"/>
        </w:rPr>
      </w:r>
    </w:p>
    <w:p w:rsidR="00000000" w:rsidDel="00000000" w:rsidP="00000000" w:rsidRDefault="00000000" w:rsidRPr="00000000" w14:paraId="00000018">
      <w:pPr>
        <w:spacing w:after="20" w:lineRule="auto"/>
        <w:rPr>
          <w:rFonts w:ascii="Cambria" w:cs="Cambria" w:eastAsia="Cambria" w:hAnsi="Cambria"/>
          <w:sz w:val="18"/>
          <w:szCs w:val="18"/>
        </w:rPr>
      </w:pPr>
      <w:r w:rsidDel="00000000" w:rsidR="00000000" w:rsidRPr="00000000">
        <w:rPr>
          <w:rtl w:val="0"/>
        </w:rPr>
      </w:r>
    </w:p>
    <w:p w:rsidR="00000000" w:rsidDel="00000000" w:rsidP="00000000" w:rsidRDefault="00000000" w:rsidRPr="00000000" w14:paraId="00000019">
      <w:pPr>
        <w:spacing w:after="20" w:lineRule="auto"/>
        <w:rPr>
          <w:rFonts w:ascii="Cambria" w:cs="Cambria" w:eastAsia="Cambria" w:hAnsi="Cambria"/>
          <w:sz w:val="18"/>
          <w:szCs w:val="18"/>
        </w:rPr>
      </w:pPr>
      <w:r w:rsidDel="00000000" w:rsidR="00000000" w:rsidRPr="00000000">
        <w:rPr>
          <w:rtl w:val="0"/>
        </w:rPr>
      </w:r>
    </w:p>
    <w:p w:rsidR="00000000" w:rsidDel="00000000" w:rsidP="00000000" w:rsidRDefault="00000000" w:rsidRPr="00000000" w14:paraId="0000001A">
      <w:pPr>
        <w:spacing w:after="20" w:lineRule="auto"/>
        <w:rPr>
          <w:rFonts w:ascii="Cambria" w:cs="Cambria" w:eastAsia="Cambria" w:hAnsi="Cambria"/>
          <w:sz w:val="18"/>
          <w:szCs w:val="18"/>
        </w:rPr>
      </w:pPr>
      <w:r w:rsidDel="00000000" w:rsidR="00000000" w:rsidRPr="00000000">
        <w:rPr>
          <w:rtl w:val="0"/>
        </w:rPr>
      </w:r>
    </w:p>
    <w:p w:rsidR="00000000" w:rsidDel="00000000" w:rsidP="00000000" w:rsidRDefault="00000000" w:rsidRPr="00000000" w14:paraId="0000001B">
      <w:pPr>
        <w:spacing w:after="20" w:lineRule="auto"/>
        <w:rPr>
          <w:rFonts w:ascii="Cambria" w:cs="Cambria" w:eastAsia="Cambria" w:hAnsi="Cambria"/>
          <w:sz w:val="18"/>
          <w:szCs w:val="18"/>
        </w:rPr>
      </w:pPr>
      <w:r w:rsidDel="00000000" w:rsidR="00000000" w:rsidRPr="00000000">
        <w:rPr>
          <w:rtl w:val="0"/>
        </w:rPr>
      </w:r>
    </w:p>
    <w:p w:rsidR="00000000" w:rsidDel="00000000" w:rsidP="00000000" w:rsidRDefault="00000000" w:rsidRPr="00000000" w14:paraId="0000001C">
      <w:pPr>
        <w:spacing w:after="20" w:lineRule="auto"/>
        <w:rPr>
          <w:rFonts w:ascii="Cambria" w:cs="Cambria" w:eastAsia="Cambria" w:hAnsi="Cambria"/>
          <w:sz w:val="18"/>
          <w:szCs w:val="18"/>
        </w:rPr>
      </w:pPr>
      <w:r w:rsidDel="00000000" w:rsidR="00000000" w:rsidRPr="00000000">
        <w:rPr>
          <w:rtl w:val="0"/>
        </w:rPr>
      </w:r>
    </w:p>
    <w:p w:rsidR="00000000" w:rsidDel="00000000" w:rsidP="00000000" w:rsidRDefault="00000000" w:rsidRPr="00000000" w14:paraId="0000001D">
      <w:pPr>
        <w:spacing w:after="20" w:lineRule="auto"/>
        <w:rPr>
          <w:rFonts w:ascii="Cambria" w:cs="Cambria" w:eastAsia="Cambria" w:hAnsi="Cambria"/>
          <w:sz w:val="18"/>
          <w:szCs w:val="18"/>
        </w:rPr>
      </w:pPr>
      <w:r w:rsidDel="00000000" w:rsidR="00000000" w:rsidRPr="00000000">
        <w:rPr>
          <w:rtl w:val="0"/>
        </w:rPr>
      </w:r>
    </w:p>
    <w:p w:rsidR="00000000" w:rsidDel="00000000" w:rsidP="00000000" w:rsidRDefault="00000000" w:rsidRPr="00000000" w14:paraId="0000001E">
      <w:pPr>
        <w:spacing w:after="20" w:lineRule="auto"/>
        <w:rPr>
          <w:rFonts w:ascii="Cambria" w:cs="Cambria" w:eastAsia="Cambria" w:hAnsi="Cambria"/>
          <w:sz w:val="18"/>
          <w:szCs w:val="18"/>
        </w:rPr>
      </w:pPr>
      <w:r w:rsidDel="00000000" w:rsidR="00000000" w:rsidRPr="00000000">
        <w:rPr>
          <w:rtl w:val="0"/>
        </w:rPr>
      </w:r>
    </w:p>
    <w:p w:rsidR="00000000" w:rsidDel="00000000" w:rsidP="00000000" w:rsidRDefault="00000000" w:rsidRPr="00000000" w14:paraId="0000001F">
      <w:pPr>
        <w:spacing w:after="20" w:lineRule="auto"/>
        <w:rPr>
          <w:rFonts w:ascii="Cambria" w:cs="Cambria" w:eastAsia="Cambria" w:hAnsi="Cambria"/>
          <w:sz w:val="18"/>
          <w:szCs w:val="18"/>
        </w:rPr>
      </w:pPr>
      <w:r w:rsidDel="00000000" w:rsidR="00000000" w:rsidRPr="00000000">
        <w:rPr>
          <w:rtl w:val="0"/>
        </w:rPr>
      </w:r>
    </w:p>
    <w:p w:rsidR="00000000" w:rsidDel="00000000" w:rsidP="00000000" w:rsidRDefault="00000000" w:rsidRPr="00000000" w14:paraId="00000020">
      <w:pPr>
        <w:spacing w:after="20" w:lineRule="auto"/>
        <w:rPr>
          <w:rFonts w:ascii="Cambria" w:cs="Cambria" w:eastAsia="Cambria" w:hAnsi="Cambria"/>
          <w:sz w:val="18"/>
          <w:szCs w:val="18"/>
        </w:rPr>
      </w:pPr>
      <w:r w:rsidDel="00000000" w:rsidR="00000000" w:rsidRPr="00000000">
        <w:rPr>
          <w:rtl w:val="0"/>
        </w:rPr>
      </w:r>
    </w:p>
    <w:p w:rsidR="00000000" w:rsidDel="00000000" w:rsidP="00000000" w:rsidRDefault="00000000" w:rsidRPr="00000000" w14:paraId="00000021">
      <w:pPr>
        <w:spacing w:after="20" w:lineRule="auto"/>
        <w:rPr>
          <w:rFonts w:ascii="Cambria" w:cs="Cambria" w:eastAsia="Cambria" w:hAnsi="Cambria"/>
          <w:sz w:val="18"/>
          <w:szCs w:val="18"/>
        </w:rPr>
      </w:pPr>
      <w:r w:rsidDel="00000000" w:rsidR="00000000" w:rsidRPr="00000000">
        <w:rPr>
          <w:rtl w:val="0"/>
        </w:rPr>
      </w:r>
    </w:p>
    <w:p w:rsidR="00000000" w:rsidDel="00000000" w:rsidP="00000000" w:rsidRDefault="00000000" w:rsidRPr="00000000" w14:paraId="00000022">
      <w:pPr>
        <w:spacing w:after="20" w:lineRule="auto"/>
        <w:rPr>
          <w:rFonts w:ascii="Cambria" w:cs="Cambria" w:eastAsia="Cambria" w:hAnsi="Cambria"/>
          <w:sz w:val="18"/>
          <w:szCs w:val="18"/>
        </w:rPr>
      </w:pPr>
      <w:r w:rsidDel="00000000" w:rsidR="00000000" w:rsidRPr="00000000">
        <w:rPr>
          <w:rtl w:val="0"/>
        </w:rPr>
      </w:r>
    </w:p>
    <w:p w:rsidR="00000000" w:rsidDel="00000000" w:rsidP="00000000" w:rsidRDefault="00000000" w:rsidRPr="00000000" w14:paraId="00000023">
      <w:pPr>
        <w:spacing w:after="20" w:lineRule="auto"/>
        <w:rPr>
          <w:rFonts w:ascii="Cambria" w:cs="Cambria" w:eastAsia="Cambria" w:hAnsi="Cambria"/>
          <w:sz w:val="18"/>
          <w:szCs w:val="18"/>
        </w:rPr>
      </w:pPr>
      <w:r w:rsidDel="00000000" w:rsidR="00000000" w:rsidRPr="00000000">
        <w:rPr>
          <w:rtl w:val="0"/>
        </w:rPr>
      </w:r>
    </w:p>
    <w:p w:rsidR="00000000" w:rsidDel="00000000" w:rsidP="00000000" w:rsidRDefault="00000000" w:rsidRPr="00000000" w14:paraId="00000024">
      <w:pPr>
        <w:spacing w:after="2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Выполнил:</w:t>
      </w:r>
    </w:p>
    <w:p w:rsidR="00000000" w:rsidDel="00000000" w:rsidP="00000000" w:rsidRDefault="00000000" w:rsidRPr="00000000" w14:paraId="00000029">
      <w:pPr>
        <w:spacing w:after="2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Студент гр. 2414-150304D</w:t>
      </w:r>
    </w:p>
    <w:p w:rsidR="00000000" w:rsidDel="00000000" w:rsidP="00000000" w:rsidRDefault="00000000" w:rsidRPr="00000000" w14:paraId="0000002A">
      <w:pPr>
        <w:spacing w:after="2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Леонов Е. Р.</w:t>
      </w:r>
    </w:p>
    <w:p w:rsidR="00000000" w:rsidDel="00000000" w:rsidP="00000000" w:rsidRDefault="00000000" w:rsidRPr="00000000" w14:paraId="0000002B">
      <w:pPr>
        <w:spacing w:after="2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Принял:</w:t>
      </w:r>
    </w:p>
    <w:p w:rsidR="00000000" w:rsidDel="00000000" w:rsidP="00000000" w:rsidRDefault="00000000" w:rsidRPr="00000000" w14:paraId="0000002C">
      <w:pPr>
        <w:spacing w:after="2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Шакиров Ф. М.</w:t>
      </w:r>
    </w:p>
    <w:p w:rsidR="00000000" w:rsidDel="00000000" w:rsidP="00000000" w:rsidRDefault="00000000" w:rsidRPr="00000000" w14:paraId="0000002D">
      <w:pPr>
        <w:spacing w:after="2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0" w:lineRule="auto"/>
        <w:ind w:left="2832" w:firstLine="708.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0" w:lineRule="auto"/>
        <w:ind w:left="2832" w:firstLine="708.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Самара 2024</w:t>
      </w:r>
    </w:p>
    <w:p w:rsidR="00000000" w:rsidDel="00000000" w:rsidP="00000000" w:rsidRDefault="00000000" w:rsidRPr="00000000" w14:paraId="0000003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Цель работы: </w:t>
      </w:r>
      <w:r w:rsidDel="00000000" w:rsidR="00000000" w:rsidRPr="00000000">
        <w:rPr>
          <w:rFonts w:ascii="Times New Roman" w:cs="Times New Roman" w:eastAsia="Times New Roman" w:hAnsi="Times New Roman"/>
          <w:sz w:val="28"/>
          <w:szCs w:val="28"/>
          <w:rtl w:val="0"/>
        </w:rPr>
        <w:t xml:space="preserve">рассмотреть сведения о шуме, его характеристиках, действие </w:t>
      </w:r>
    </w:p>
    <w:p w:rsidR="00000000" w:rsidDel="00000000" w:rsidP="00000000" w:rsidRDefault="00000000" w:rsidRPr="00000000" w14:paraId="0000003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человека, вопросы нормирования шума, оценка условий труда по фактору </w:t>
      </w:r>
    </w:p>
    <w:p w:rsidR="00000000" w:rsidDel="00000000" w:rsidP="00000000" w:rsidRDefault="00000000" w:rsidRPr="00000000" w14:paraId="0000003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«шум», а также методы борьбы с шумом и профилактики его негативного </w:t>
      </w:r>
    </w:p>
    <w:p w:rsidR="00000000" w:rsidDel="00000000" w:rsidP="00000000" w:rsidRDefault="00000000" w:rsidRPr="00000000" w14:paraId="0000003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воздействия.</w:t>
      </w:r>
    </w:p>
    <w:p w:rsidR="00000000" w:rsidDel="00000000" w:rsidP="00000000" w:rsidRDefault="00000000" w:rsidRPr="00000000" w14:paraId="00000035">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Источник шума:</w:t>
      </w:r>
      <w:r w:rsidDel="00000000" w:rsidR="00000000" w:rsidRPr="00000000">
        <w:rPr>
          <w:rFonts w:ascii="Times New Roman" w:cs="Times New Roman" w:eastAsia="Times New Roman" w:hAnsi="Times New Roman"/>
          <w:sz w:val="28"/>
          <w:szCs w:val="28"/>
          <w:rtl w:val="0"/>
        </w:rPr>
        <w:t xml:space="preserve"> водяной насос электростанци</w:t>
      </w:r>
    </w:p>
    <w:tbl>
      <w:tblPr>
        <w:tblStyle w:val="Table1"/>
        <w:tblW w:w="93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660"/>
        <w:gridCol w:w="630"/>
        <w:gridCol w:w="645"/>
        <w:gridCol w:w="645"/>
        <w:gridCol w:w="645"/>
        <w:gridCol w:w="720"/>
        <w:gridCol w:w="720"/>
        <w:gridCol w:w="720"/>
        <w:gridCol w:w="720"/>
        <w:gridCol w:w="990"/>
        <w:tblGridChange w:id="0">
          <w:tblGrid>
            <w:gridCol w:w="2205"/>
            <w:gridCol w:w="660"/>
            <w:gridCol w:w="630"/>
            <w:gridCol w:w="645"/>
            <w:gridCol w:w="645"/>
            <w:gridCol w:w="645"/>
            <w:gridCol w:w="720"/>
            <w:gridCol w:w="720"/>
            <w:gridCol w:w="720"/>
            <w:gridCol w:w="720"/>
            <w:gridCol w:w="990"/>
          </w:tblGrid>
        </w:tblGridChange>
      </w:tblGrid>
      <w:tr>
        <w:trPr>
          <w:cantSplit w:val="0"/>
          <w:tblHeader w:val="0"/>
        </w:trPr>
        <w:tc>
          <w:tcPr>
            <w:vMerge w:val="restart"/>
            <w:vAlign w:val="center"/>
          </w:tcPr>
          <w:p w:rsidR="00000000" w:rsidDel="00000000" w:rsidP="00000000" w:rsidRDefault="00000000" w:rsidRPr="00000000" w14:paraId="00000037">
            <w:pPr>
              <w:jc w:val="center"/>
              <w:rPr>
                <w:b w:val="1"/>
              </w:rPr>
            </w:pPr>
            <w:r w:rsidDel="00000000" w:rsidR="00000000" w:rsidRPr="00000000">
              <w:rPr>
                <w:b w:val="1"/>
                <w:rtl w:val="0"/>
              </w:rPr>
              <w:t xml:space="preserve">Параметры</w:t>
            </w:r>
          </w:p>
        </w:tc>
        <w:tc>
          <w:tcPr>
            <w:gridSpan w:val="9"/>
            <w:vAlign w:val="center"/>
          </w:tcPr>
          <w:p w:rsidR="00000000" w:rsidDel="00000000" w:rsidP="00000000" w:rsidRDefault="00000000" w:rsidRPr="00000000" w14:paraId="00000038">
            <w:pPr>
              <w:jc w:val="center"/>
              <w:rPr/>
            </w:pPr>
            <w:r w:rsidDel="00000000" w:rsidR="00000000" w:rsidRPr="00000000">
              <w:rPr>
                <w:rtl w:val="0"/>
              </w:rPr>
              <w:t xml:space="preserve">Уровни звукового давления L, дБ в октавных полюсах со среднегеометрическими частотами f</w:t>
            </w:r>
            <w:r w:rsidDel="00000000" w:rsidR="00000000" w:rsidRPr="00000000">
              <w:rPr>
                <w:vertAlign w:val="subscript"/>
                <w:rtl w:val="0"/>
              </w:rPr>
              <w:t xml:space="preserve">ср</w:t>
            </w:r>
            <w:r w:rsidDel="00000000" w:rsidR="00000000" w:rsidRPr="00000000">
              <w:rPr>
                <w:rtl w:val="0"/>
              </w:rPr>
              <w:t xml:space="preserve"> Гц</w:t>
            </w:r>
          </w:p>
        </w:tc>
        <w:tc>
          <w:tcPr>
            <w:vMerge w:val="restart"/>
            <w:vAlign w:val="center"/>
          </w:tcPr>
          <w:p w:rsidR="00000000" w:rsidDel="00000000" w:rsidP="00000000" w:rsidRDefault="00000000" w:rsidRPr="00000000" w14:paraId="00000041">
            <w:pPr>
              <w:jc w:val="center"/>
              <w:rPr/>
            </w:pPr>
            <w:r w:rsidDel="00000000" w:rsidR="00000000" w:rsidRPr="00000000">
              <w:rPr>
                <w:rtl w:val="0"/>
              </w:rPr>
              <w:t xml:space="preserve">Уровни звука, L</w:t>
            </w:r>
            <w:r w:rsidDel="00000000" w:rsidR="00000000" w:rsidRPr="00000000">
              <w:rPr>
                <w:vertAlign w:val="subscript"/>
                <w:rtl w:val="0"/>
              </w:rPr>
              <w:t xml:space="preserve">a</w:t>
            </w:r>
            <w:r w:rsidDel="00000000" w:rsidR="00000000" w:rsidRPr="00000000">
              <w:rPr>
                <w:rtl w:val="0"/>
              </w:rPr>
              <w:t xml:space="preserve">, дБА</w:t>
            </w:r>
          </w:p>
        </w:tc>
      </w:tr>
      <w:tr>
        <w:trPr>
          <w:cantSplit w:val="0"/>
          <w:tblHeader w:val="0"/>
        </w:trPr>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43">
            <w:pPr>
              <w:jc w:val="center"/>
              <w:rPr/>
            </w:pPr>
            <w:r w:rsidDel="00000000" w:rsidR="00000000" w:rsidRPr="00000000">
              <w:rPr>
                <w:rtl w:val="0"/>
              </w:rPr>
              <w:t xml:space="preserve">31,5</w:t>
            </w:r>
          </w:p>
        </w:tc>
        <w:tc>
          <w:tcPr>
            <w:vAlign w:val="center"/>
          </w:tcPr>
          <w:p w:rsidR="00000000" w:rsidDel="00000000" w:rsidP="00000000" w:rsidRDefault="00000000" w:rsidRPr="00000000" w14:paraId="00000044">
            <w:pPr>
              <w:jc w:val="center"/>
              <w:rPr/>
            </w:pPr>
            <w:r w:rsidDel="00000000" w:rsidR="00000000" w:rsidRPr="00000000">
              <w:rPr>
                <w:rtl w:val="0"/>
              </w:rPr>
              <w:t xml:space="preserve">63</w:t>
            </w:r>
          </w:p>
        </w:tc>
        <w:tc>
          <w:tcPr>
            <w:vAlign w:val="center"/>
          </w:tcPr>
          <w:p w:rsidR="00000000" w:rsidDel="00000000" w:rsidP="00000000" w:rsidRDefault="00000000" w:rsidRPr="00000000" w14:paraId="00000045">
            <w:pPr>
              <w:jc w:val="center"/>
              <w:rPr/>
            </w:pPr>
            <w:r w:rsidDel="00000000" w:rsidR="00000000" w:rsidRPr="00000000">
              <w:rPr>
                <w:rtl w:val="0"/>
              </w:rPr>
              <w:t xml:space="preserve">125</w:t>
            </w:r>
          </w:p>
        </w:tc>
        <w:tc>
          <w:tcPr>
            <w:vAlign w:val="center"/>
          </w:tcPr>
          <w:p w:rsidR="00000000" w:rsidDel="00000000" w:rsidP="00000000" w:rsidRDefault="00000000" w:rsidRPr="00000000" w14:paraId="00000046">
            <w:pPr>
              <w:jc w:val="center"/>
              <w:rPr/>
            </w:pPr>
            <w:r w:rsidDel="00000000" w:rsidR="00000000" w:rsidRPr="00000000">
              <w:rPr>
                <w:rtl w:val="0"/>
              </w:rPr>
              <w:t xml:space="preserve">250</w:t>
            </w:r>
          </w:p>
        </w:tc>
        <w:tc>
          <w:tcPr>
            <w:vAlign w:val="center"/>
          </w:tcPr>
          <w:p w:rsidR="00000000" w:rsidDel="00000000" w:rsidP="00000000" w:rsidRDefault="00000000" w:rsidRPr="00000000" w14:paraId="00000047">
            <w:pPr>
              <w:jc w:val="center"/>
              <w:rPr/>
            </w:pPr>
            <w:r w:rsidDel="00000000" w:rsidR="00000000" w:rsidRPr="00000000">
              <w:rPr>
                <w:rtl w:val="0"/>
              </w:rPr>
              <w:t xml:space="preserve">500</w:t>
            </w:r>
          </w:p>
        </w:tc>
        <w:tc>
          <w:tcPr>
            <w:vAlign w:val="center"/>
          </w:tcPr>
          <w:p w:rsidR="00000000" w:rsidDel="00000000" w:rsidP="00000000" w:rsidRDefault="00000000" w:rsidRPr="00000000" w14:paraId="00000048">
            <w:pPr>
              <w:jc w:val="center"/>
              <w:rPr/>
            </w:pPr>
            <w:r w:rsidDel="00000000" w:rsidR="00000000" w:rsidRPr="00000000">
              <w:rPr>
                <w:rtl w:val="0"/>
              </w:rPr>
              <w:t xml:space="preserve">1000</w:t>
            </w:r>
          </w:p>
        </w:tc>
        <w:tc>
          <w:tcPr>
            <w:vAlign w:val="center"/>
          </w:tcPr>
          <w:p w:rsidR="00000000" w:rsidDel="00000000" w:rsidP="00000000" w:rsidRDefault="00000000" w:rsidRPr="00000000" w14:paraId="00000049">
            <w:pPr>
              <w:jc w:val="center"/>
              <w:rPr/>
            </w:pPr>
            <w:r w:rsidDel="00000000" w:rsidR="00000000" w:rsidRPr="00000000">
              <w:rPr>
                <w:rtl w:val="0"/>
              </w:rPr>
              <w:t xml:space="preserve">2000</w:t>
            </w:r>
          </w:p>
        </w:tc>
        <w:tc>
          <w:tcPr>
            <w:vAlign w:val="center"/>
          </w:tcPr>
          <w:p w:rsidR="00000000" w:rsidDel="00000000" w:rsidP="00000000" w:rsidRDefault="00000000" w:rsidRPr="00000000" w14:paraId="0000004A">
            <w:pPr>
              <w:jc w:val="center"/>
              <w:rPr/>
            </w:pPr>
            <w:r w:rsidDel="00000000" w:rsidR="00000000" w:rsidRPr="00000000">
              <w:rPr>
                <w:rtl w:val="0"/>
              </w:rPr>
              <w:t xml:space="preserve">4000</w:t>
            </w:r>
          </w:p>
        </w:tc>
        <w:tc>
          <w:tcPr>
            <w:vAlign w:val="center"/>
          </w:tcPr>
          <w:p w:rsidR="00000000" w:rsidDel="00000000" w:rsidP="00000000" w:rsidRDefault="00000000" w:rsidRPr="00000000" w14:paraId="0000004B">
            <w:pPr>
              <w:jc w:val="center"/>
              <w:rPr/>
            </w:pPr>
            <w:r w:rsidDel="00000000" w:rsidR="00000000" w:rsidRPr="00000000">
              <w:rPr>
                <w:rtl w:val="0"/>
              </w:rPr>
              <w:t xml:space="preserve">8000</w:t>
            </w:r>
          </w:p>
        </w:tc>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D">
            <w:pPr>
              <w:jc w:val="center"/>
              <w:rPr/>
            </w:pPr>
            <w:r w:rsidDel="00000000" w:rsidR="00000000" w:rsidRPr="00000000">
              <w:rPr>
                <w:rtl w:val="0"/>
              </w:rPr>
              <w:t xml:space="preserve">1) Измерение характеристики шума без перегородки</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E">
            <w:pPr>
              <w:widowControl w:val="0"/>
              <w:spacing w:line="276" w:lineRule="auto"/>
              <w:jc w:val="center"/>
              <w:rPr/>
            </w:pPr>
            <w:r w:rsidDel="00000000" w:rsidR="00000000" w:rsidRPr="00000000">
              <w:rPr>
                <w:rtl w:val="0"/>
              </w:rPr>
              <w:t xml:space="preserve">93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F">
            <w:pPr>
              <w:widowControl w:val="0"/>
              <w:spacing w:line="276" w:lineRule="auto"/>
              <w:jc w:val="center"/>
              <w:rPr/>
            </w:pPr>
            <w:r w:rsidDel="00000000" w:rsidR="00000000" w:rsidRPr="00000000">
              <w:rPr>
                <w:rtl w:val="0"/>
              </w:rPr>
              <w:t xml:space="preserve">98</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0">
            <w:pPr>
              <w:widowControl w:val="0"/>
              <w:spacing w:line="276" w:lineRule="auto"/>
              <w:jc w:val="center"/>
              <w:rPr/>
            </w:pPr>
            <w:r w:rsidDel="00000000" w:rsidR="00000000" w:rsidRPr="00000000">
              <w:rPr>
                <w:rtl w:val="0"/>
              </w:rPr>
              <w:t xml:space="preserve">102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1">
            <w:pPr>
              <w:widowControl w:val="0"/>
              <w:spacing w:line="276" w:lineRule="auto"/>
              <w:jc w:val="center"/>
              <w:rPr/>
            </w:pPr>
            <w:r w:rsidDel="00000000" w:rsidR="00000000" w:rsidRPr="00000000">
              <w:rPr>
                <w:rtl w:val="0"/>
              </w:rPr>
              <w:t xml:space="preserve">85</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2">
            <w:pPr>
              <w:widowControl w:val="0"/>
              <w:spacing w:line="276" w:lineRule="auto"/>
              <w:jc w:val="center"/>
              <w:rPr/>
            </w:pPr>
            <w:r w:rsidDel="00000000" w:rsidR="00000000" w:rsidRPr="00000000">
              <w:rPr>
                <w:rtl w:val="0"/>
              </w:rPr>
              <w:t xml:space="preserve">89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3">
            <w:pPr>
              <w:widowControl w:val="0"/>
              <w:spacing w:line="276" w:lineRule="auto"/>
              <w:jc w:val="center"/>
              <w:rPr/>
            </w:pPr>
            <w:r w:rsidDel="00000000" w:rsidR="00000000" w:rsidRPr="00000000">
              <w:rPr>
                <w:rtl w:val="0"/>
              </w:rPr>
              <w:t xml:space="preserve">74</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4">
            <w:pPr>
              <w:widowControl w:val="0"/>
              <w:spacing w:line="276" w:lineRule="auto"/>
              <w:jc w:val="center"/>
              <w:rPr/>
            </w:pPr>
            <w:r w:rsidDel="00000000" w:rsidR="00000000" w:rsidRPr="00000000">
              <w:rPr>
                <w:rtl w:val="0"/>
              </w:rPr>
              <w:t xml:space="preserve">70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5">
            <w:pPr>
              <w:widowControl w:val="0"/>
              <w:spacing w:line="276" w:lineRule="auto"/>
              <w:jc w:val="center"/>
              <w:rPr/>
            </w:pPr>
            <w:r w:rsidDel="00000000" w:rsidR="00000000" w:rsidRPr="00000000">
              <w:rPr>
                <w:rtl w:val="0"/>
              </w:rPr>
              <w:t xml:space="preserve">68</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6">
            <w:pPr>
              <w:widowControl w:val="0"/>
              <w:spacing w:line="276" w:lineRule="auto"/>
              <w:jc w:val="center"/>
              <w:rPr/>
            </w:pPr>
            <w:r w:rsidDel="00000000" w:rsidR="00000000" w:rsidRPr="00000000">
              <w:rPr>
                <w:rtl w:val="0"/>
              </w:rPr>
              <w:t xml:space="preserve">60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7">
            <w:pPr>
              <w:widowControl w:val="0"/>
              <w:spacing w:line="276" w:lineRule="auto"/>
              <w:jc w:val="center"/>
              <w:rPr/>
            </w:pPr>
            <w:r w:rsidDel="00000000" w:rsidR="00000000" w:rsidRPr="00000000">
              <w:rPr>
                <w:rtl w:val="0"/>
              </w:rPr>
              <w:t xml:space="preserve">87</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8">
            <w:pPr>
              <w:jc w:val="center"/>
              <w:rPr/>
            </w:pPr>
            <w:r w:rsidDel="00000000" w:rsidR="00000000" w:rsidRPr="00000000">
              <w:rPr>
                <w:rtl w:val="0"/>
              </w:rPr>
              <w:t xml:space="preserve">2) Измерение характеристики шума с перегородкой</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9">
            <w:pPr>
              <w:widowControl w:val="0"/>
              <w:spacing w:line="276" w:lineRule="auto"/>
              <w:jc w:val="center"/>
              <w:rPr/>
            </w:pPr>
            <w:r w:rsidDel="00000000" w:rsidR="00000000" w:rsidRPr="00000000">
              <w:rPr>
                <w:rtl w:val="0"/>
              </w:rPr>
              <w:t xml:space="preserve">76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A">
            <w:pPr>
              <w:widowControl w:val="0"/>
              <w:spacing w:line="276" w:lineRule="auto"/>
              <w:jc w:val="center"/>
              <w:rPr/>
            </w:pPr>
            <w:r w:rsidDel="00000000" w:rsidR="00000000" w:rsidRPr="00000000">
              <w:rPr>
                <w:rtl w:val="0"/>
              </w:rPr>
              <w:t xml:space="preserve">79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B">
            <w:pPr>
              <w:widowControl w:val="0"/>
              <w:spacing w:line="276" w:lineRule="auto"/>
              <w:jc w:val="center"/>
              <w:rPr/>
            </w:pPr>
            <w:r w:rsidDel="00000000" w:rsidR="00000000" w:rsidRPr="00000000">
              <w:rPr>
                <w:rtl w:val="0"/>
              </w:rPr>
              <w:t xml:space="preserve">84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C">
            <w:pPr>
              <w:widowControl w:val="0"/>
              <w:spacing w:line="276" w:lineRule="auto"/>
              <w:jc w:val="center"/>
              <w:rPr/>
            </w:pPr>
            <w:r w:rsidDel="00000000" w:rsidR="00000000" w:rsidRPr="00000000">
              <w:rPr>
                <w:rtl w:val="0"/>
              </w:rPr>
              <w:t xml:space="preserve">65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D">
            <w:pPr>
              <w:widowControl w:val="0"/>
              <w:spacing w:line="276" w:lineRule="auto"/>
              <w:jc w:val="center"/>
              <w:rPr/>
            </w:pPr>
            <w:r w:rsidDel="00000000" w:rsidR="00000000" w:rsidRPr="00000000">
              <w:rPr>
                <w:rtl w:val="0"/>
              </w:rPr>
              <w:t xml:space="preserve">61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E">
            <w:pPr>
              <w:widowControl w:val="0"/>
              <w:spacing w:line="276" w:lineRule="auto"/>
              <w:jc w:val="center"/>
              <w:rPr/>
            </w:pPr>
            <w:r w:rsidDel="00000000" w:rsidR="00000000" w:rsidRPr="00000000">
              <w:rPr>
                <w:rtl w:val="0"/>
              </w:rPr>
              <w:t xml:space="preserve">51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F">
            <w:pPr>
              <w:widowControl w:val="0"/>
              <w:spacing w:line="276" w:lineRule="auto"/>
              <w:jc w:val="center"/>
              <w:rPr/>
            </w:pPr>
            <w:r w:rsidDel="00000000" w:rsidR="00000000" w:rsidRPr="00000000">
              <w:rPr>
                <w:rtl w:val="0"/>
              </w:rPr>
              <w:t xml:space="preserve">48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0">
            <w:pPr>
              <w:widowControl w:val="0"/>
              <w:spacing w:line="276" w:lineRule="auto"/>
              <w:jc w:val="center"/>
              <w:rPr/>
            </w:pPr>
            <w:r w:rsidDel="00000000" w:rsidR="00000000" w:rsidRPr="00000000">
              <w:rPr>
                <w:rtl w:val="0"/>
              </w:rPr>
              <w:t xml:space="preserve">48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1">
            <w:pPr>
              <w:widowControl w:val="0"/>
              <w:spacing w:line="276" w:lineRule="auto"/>
              <w:jc w:val="center"/>
              <w:rPr/>
            </w:pPr>
            <w:r w:rsidDel="00000000" w:rsidR="00000000" w:rsidRPr="00000000">
              <w:rPr>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2">
            <w:pPr>
              <w:widowControl w:val="0"/>
              <w:spacing w:line="276" w:lineRule="auto"/>
              <w:jc w:val="center"/>
              <w:rPr/>
            </w:pPr>
            <w:r w:rsidDel="00000000" w:rsidR="00000000" w:rsidRPr="00000000">
              <w:rPr>
                <w:rtl w:val="0"/>
              </w:rPr>
              <w:t xml:space="preserve">56</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3">
            <w:pPr>
              <w:jc w:val="center"/>
              <w:rPr/>
            </w:pPr>
            <w:r w:rsidDel="00000000" w:rsidR="00000000" w:rsidRPr="00000000">
              <w:rPr>
                <w:rtl w:val="0"/>
              </w:rPr>
              <w:t xml:space="preserve">3) Звукоизоляционная способность перегородки</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4">
            <w:pPr>
              <w:widowControl w:val="0"/>
              <w:spacing w:line="276" w:lineRule="auto"/>
              <w:jc w:val="center"/>
              <w:rPr/>
            </w:pPr>
            <w:r w:rsidDel="00000000" w:rsidR="00000000" w:rsidRPr="00000000">
              <w:rPr>
                <w:rtl w:val="0"/>
              </w:rPr>
              <w:t xml:space="preserve">17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5">
            <w:pPr>
              <w:widowControl w:val="0"/>
              <w:spacing w:line="276" w:lineRule="auto"/>
              <w:jc w:val="center"/>
              <w:rPr/>
            </w:pPr>
            <w:r w:rsidDel="00000000" w:rsidR="00000000" w:rsidRPr="00000000">
              <w:rPr>
                <w:rtl w:val="0"/>
              </w:rPr>
              <w:t xml:space="preserve">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6">
            <w:pPr>
              <w:widowControl w:val="0"/>
              <w:spacing w:line="276" w:lineRule="auto"/>
              <w:jc w:val="center"/>
              <w:rPr/>
            </w:pPr>
            <w:r w:rsidDel="00000000" w:rsidR="00000000" w:rsidRPr="00000000">
              <w:rPr>
                <w:rtl w:val="0"/>
              </w:rPr>
              <w:t xml:space="preserve">18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7">
            <w:pPr>
              <w:widowControl w:val="0"/>
              <w:spacing w:line="276" w:lineRule="auto"/>
              <w:jc w:val="center"/>
              <w:rPr/>
            </w:pPr>
            <w:r w:rsidDel="00000000" w:rsidR="00000000" w:rsidRPr="00000000">
              <w:rPr>
                <w:rtl w:val="0"/>
              </w:rPr>
              <w:t xml:space="preserve">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8">
            <w:pPr>
              <w:widowControl w:val="0"/>
              <w:spacing w:line="276" w:lineRule="auto"/>
              <w:jc w:val="center"/>
              <w:rPr/>
            </w:pPr>
            <w:r w:rsidDel="00000000" w:rsidR="00000000" w:rsidRPr="00000000">
              <w:rPr>
                <w:rtl w:val="0"/>
              </w:rPr>
              <w:t xml:space="preserve">28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9">
            <w:pPr>
              <w:widowControl w:val="0"/>
              <w:spacing w:line="276" w:lineRule="auto"/>
              <w:jc w:val="center"/>
              <w:rPr/>
            </w:pPr>
            <w:r w:rsidDel="00000000" w:rsidR="00000000" w:rsidRPr="00000000">
              <w:rPr>
                <w:rtl w:val="0"/>
              </w:rPr>
              <w:t xml:space="preserve">23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A">
            <w:pPr>
              <w:widowControl w:val="0"/>
              <w:spacing w:line="276" w:lineRule="auto"/>
              <w:jc w:val="center"/>
              <w:rPr/>
            </w:pPr>
            <w:r w:rsidDel="00000000" w:rsidR="00000000" w:rsidRPr="00000000">
              <w:rPr>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B">
            <w:pPr>
              <w:widowControl w:val="0"/>
              <w:spacing w:line="276" w:lineRule="auto"/>
              <w:jc w:val="center"/>
              <w:rPr/>
            </w:pPr>
            <w:r w:rsidDel="00000000" w:rsidR="00000000" w:rsidRPr="00000000">
              <w:rPr>
                <w:rtl w:val="0"/>
              </w:rPr>
              <w:t xml:space="preserve">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C">
            <w:pPr>
              <w:widowControl w:val="0"/>
              <w:spacing w:line="276" w:lineRule="auto"/>
              <w:jc w:val="center"/>
              <w:rPr/>
            </w:pPr>
            <w:r w:rsidDel="00000000" w:rsidR="00000000" w:rsidRPr="00000000">
              <w:rPr>
                <w:rtl w:val="0"/>
              </w:rPr>
              <w:t xml:space="preserve">35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D">
            <w:pPr>
              <w:widowControl w:val="0"/>
              <w:spacing w:line="276" w:lineRule="auto"/>
              <w:jc w:val="center"/>
              <w:rPr/>
            </w:pPr>
            <w:r w:rsidDel="00000000" w:rsidR="00000000" w:rsidRPr="00000000">
              <w:rPr>
                <w:rtl w:val="0"/>
              </w:rPr>
              <w:t xml:space="preserve">31</w:t>
            </w:r>
          </w:p>
        </w:tc>
      </w:tr>
      <w:tr>
        <w:trPr>
          <w:cantSplit w:val="0"/>
          <w:trHeight w:val="1155" w:hRule="atLeast"/>
          <w:tblHeader w:val="0"/>
        </w:trPr>
        <w:tc>
          <w:tcPr>
            <w:vAlign w:val="center"/>
          </w:tcPr>
          <w:p w:rsidR="00000000" w:rsidDel="00000000" w:rsidP="00000000" w:rsidRDefault="00000000" w:rsidRPr="00000000" w14:paraId="0000006E">
            <w:pPr>
              <w:jc w:val="center"/>
              <w:rPr/>
            </w:pPr>
            <w:r w:rsidDel="00000000" w:rsidR="00000000" w:rsidRPr="00000000">
              <w:rPr>
                <w:rtl w:val="0"/>
              </w:rPr>
              <w:t xml:space="preserve">4) Нормативный спектр</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F">
            <w:pPr>
              <w:widowControl w:val="0"/>
              <w:spacing w:line="276" w:lineRule="auto"/>
              <w:jc w:val="center"/>
              <w:rPr/>
            </w:pPr>
            <w:r w:rsidDel="00000000" w:rsidR="00000000" w:rsidRPr="00000000">
              <w:rPr>
                <w:rtl w:val="0"/>
              </w:rPr>
              <w:t xml:space="preserve">93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0">
            <w:pPr>
              <w:widowControl w:val="0"/>
              <w:spacing w:line="276" w:lineRule="auto"/>
              <w:jc w:val="center"/>
              <w:rPr/>
            </w:pPr>
            <w:r w:rsidDel="00000000" w:rsidR="00000000" w:rsidRPr="00000000">
              <w:rPr>
                <w:rtl w:val="0"/>
              </w:rPr>
              <w:t xml:space="preserve">79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1">
            <w:pPr>
              <w:widowControl w:val="0"/>
              <w:spacing w:line="276" w:lineRule="auto"/>
              <w:jc w:val="center"/>
              <w:rPr/>
            </w:pPr>
            <w:r w:rsidDel="00000000" w:rsidR="00000000" w:rsidRPr="00000000">
              <w:rPr>
                <w:rtl w:val="0"/>
              </w:rPr>
              <w:t xml:space="preserve">70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2">
            <w:pPr>
              <w:widowControl w:val="0"/>
              <w:spacing w:line="276" w:lineRule="auto"/>
              <w:jc w:val="center"/>
              <w:rPr/>
            </w:pPr>
            <w:r w:rsidDel="00000000" w:rsidR="00000000" w:rsidRPr="00000000">
              <w:rPr>
                <w:rtl w:val="0"/>
              </w:rPr>
              <w:t xml:space="preserve">63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3">
            <w:pPr>
              <w:widowControl w:val="0"/>
              <w:spacing w:line="276" w:lineRule="auto"/>
              <w:jc w:val="center"/>
              <w:rPr/>
            </w:pPr>
            <w:r w:rsidDel="00000000" w:rsidR="00000000" w:rsidRPr="00000000">
              <w:rPr>
                <w:rtl w:val="0"/>
              </w:rPr>
              <w:t xml:space="preserve">58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4">
            <w:pPr>
              <w:widowControl w:val="0"/>
              <w:spacing w:line="276" w:lineRule="auto"/>
              <w:jc w:val="center"/>
              <w:rPr/>
            </w:pPr>
            <w:r w:rsidDel="00000000" w:rsidR="00000000" w:rsidRPr="00000000">
              <w:rPr>
                <w:rtl w:val="0"/>
              </w:rPr>
              <w:t xml:space="preserve">55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5">
            <w:pPr>
              <w:widowControl w:val="0"/>
              <w:spacing w:line="276" w:lineRule="auto"/>
              <w:jc w:val="center"/>
              <w:rPr/>
            </w:pPr>
            <w:r w:rsidDel="00000000" w:rsidR="00000000" w:rsidRPr="00000000">
              <w:rPr>
                <w:rtl w:val="0"/>
              </w:rPr>
              <w:t xml:space="preserve">52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50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49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60</w:t>
            </w:r>
          </w:p>
        </w:tc>
      </w:tr>
      <w:tr>
        <w:trPr>
          <w:cantSplit w:val="0"/>
          <w:trHeight w:val="1125" w:hRule="atLeast"/>
          <w:tblHeader w:val="0"/>
        </w:trPr>
        <w:tc>
          <w:tcPr>
            <w:vAlign w:val="center"/>
          </w:tcPr>
          <w:p w:rsidR="00000000" w:rsidDel="00000000" w:rsidP="00000000" w:rsidRDefault="00000000" w:rsidRPr="00000000" w14:paraId="00000079">
            <w:pPr>
              <w:jc w:val="center"/>
              <w:rPr/>
            </w:pPr>
            <w:r w:rsidDel="00000000" w:rsidR="00000000" w:rsidRPr="00000000">
              <w:rPr>
                <w:rtl w:val="0"/>
              </w:rPr>
              <w:t xml:space="preserve">5) Требуемое снижение шума без перегородки</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32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31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18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18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27</w:t>
            </w:r>
          </w:p>
        </w:tc>
      </w:tr>
      <w:tr>
        <w:trPr>
          <w:cantSplit w:val="0"/>
          <w:trHeight w:val="1157.9296875" w:hRule="atLeast"/>
          <w:tblHeader w:val="0"/>
        </w:trPr>
        <w:tc>
          <w:tcPr>
            <w:vAlign w:val="center"/>
          </w:tcPr>
          <w:p w:rsidR="00000000" w:rsidDel="00000000" w:rsidP="00000000" w:rsidRDefault="00000000" w:rsidRPr="00000000" w14:paraId="00000084">
            <w:pPr>
              <w:jc w:val="center"/>
              <w:rPr/>
            </w:pPr>
            <w:r w:rsidDel="00000000" w:rsidR="00000000" w:rsidRPr="00000000">
              <w:rPr>
                <w:rtl w:val="0"/>
              </w:rPr>
              <w:t xml:space="preserve">6) Требуемое снижение шума с перегородкой</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14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0</w:t>
            </w:r>
          </w:p>
        </w:tc>
      </w:tr>
      <w:tr>
        <w:trPr>
          <w:cantSplit w:val="0"/>
          <w:trHeight w:val="675" w:hRule="atLeast"/>
          <w:tblHeader w:val="0"/>
        </w:trPr>
        <w:tc>
          <w:tcPr>
            <w:vAlign w:val="center"/>
          </w:tcPr>
          <w:p w:rsidR="00000000" w:rsidDel="00000000" w:rsidP="00000000" w:rsidRDefault="00000000" w:rsidRPr="00000000" w14:paraId="0000008F">
            <w:pPr>
              <w:jc w:val="center"/>
              <w:rPr/>
            </w:pPr>
            <w:r w:rsidDel="00000000" w:rsidR="00000000" w:rsidRPr="00000000">
              <w:rPr>
                <w:rtl w:val="0"/>
              </w:rPr>
              <w:t xml:space="preserve">7) Класс условий труда без перегородки</w:t>
            </w:r>
          </w:p>
        </w:tc>
        <w:tc>
          <w:tcPr>
            <w:gridSpan w:val="10"/>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3.4</w:t>
            </w:r>
          </w:p>
        </w:tc>
      </w:tr>
      <w:tr>
        <w:trPr>
          <w:cantSplit w:val="0"/>
          <w:tblHeader w:val="0"/>
        </w:trPr>
        <w:tc>
          <w:tcPr>
            <w:vAlign w:val="center"/>
          </w:tcPr>
          <w:p w:rsidR="00000000" w:rsidDel="00000000" w:rsidP="00000000" w:rsidRDefault="00000000" w:rsidRPr="00000000" w14:paraId="0000009A">
            <w:pPr>
              <w:jc w:val="center"/>
              <w:rPr/>
            </w:pPr>
            <w:r w:rsidDel="00000000" w:rsidR="00000000" w:rsidRPr="00000000">
              <w:rPr>
                <w:rtl w:val="0"/>
              </w:rPr>
              <w:t xml:space="preserve">8) Класс условий труда с перегородкой</w:t>
            </w:r>
          </w:p>
        </w:tc>
        <w:tc>
          <w:tcPr>
            <w:gridSpan w:val="10"/>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2</w:t>
            </w:r>
          </w:p>
        </w:tc>
      </w:tr>
    </w:tbl>
    <w:p w:rsidR="00000000" w:rsidDel="00000000" w:rsidP="00000000" w:rsidRDefault="00000000" w:rsidRPr="00000000" w14:paraId="000000A5">
      <w:pPr>
        <w:spacing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spacing w:line="259"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7">
      <w:pPr>
        <w:spacing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График:</w:t>
      </w:r>
    </w:p>
    <w:p w:rsidR="00000000" w:rsidDel="00000000" w:rsidP="00000000" w:rsidRDefault="00000000" w:rsidRPr="00000000" w14:paraId="000000A8">
      <w:pPr>
        <w:spacing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7229281" cy="5468303"/>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rot="5400000">
                      <a:off x="0" y="0"/>
                      <a:ext cx="7229281" cy="546830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9">
      <w:pPr>
        <w:spacing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Вывод:</w:t>
      </w:r>
    </w:p>
    <w:p w:rsidR="00000000" w:rsidDel="00000000" w:rsidP="00000000" w:rsidRDefault="00000000" w:rsidRPr="00000000" w14:paraId="000000AA">
      <w:pPr>
        <w:numPr>
          <w:ilvl w:val="0"/>
          <w:numId w:val="1"/>
        </w:numPr>
        <w:spacing w:line="259"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Описание модельной установки и регистрирующего прибора.</w:t>
      </w:r>
      <w:r w:rsidDel="00000000" w:rsidR="00000000" w:rsidRPr="00000000">
        <w:rPr>
          <w:rtl w:val="0"/>
        </w:rPr>
      </w:r>
    </w:p>
    <w:p w:rsidR="00000000" w:rsidDel="00000000" w:rsidP="00000000" w:rsidRDefault="00000000" w:rsidRPr="00000000" w14:paraId="000000AB">
      <w:pPr>
        <w:spacing w:line="259" w:lineRule="auto"/>
        <w:ind w:left="708.6614173228347" w:firstLine="3.66141732283466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Лабораторная установка представляет собой модель помещения (камеру), в которой с одной стороны установлен источник шума в виде динамика, а с другой микрофон измерителя. Внутренняя поверхность камеры выложена съемными щитками со звукопоглощающей облицовкой. Посредине камеры могут герметично вставляться изолирующие перегородки, разделяющие камеру на две части. Передняя часть камеры состоит из двух дверок, плотное прилегание которых к камере обеспечивается прокладками и зажимами. Источник шума может быть закрыт частично экраном или кожухом. Звуковые сигналы подаются на динамик звуковым генератором или магнитофоном с записью реального шума. Для измерения параметров шума в работе используется измеритель шума и вибрации ВШВ-003-М2, имеющий 4 частотные ("А", "В","С" и "ЛИН") и 3 временные ("F", "S", "IOS") характеристики.</w:t>
      </w:r>
    </w:p>
    <w:p w:rsidR="00000000" w:rsidDel="00000000" w:rsidP="00000000" w:rsidRDefault="00000000" w:rsidRPr="00000000" w14:paraId="000000AC">
      <w:pPr>
        <w:numPr>
          <w:ilvl w:val="0"/>
          <w:numId w:val="1"/>
        </w:numPr>
        <w:spacing w:line="259"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Описание способа шумоизоляции, конструкции и материала перегородки. Возможные иные способы шумоизоляции в рассматриваемом варианте используемого шума.</w:t>
      </w:r>
      <w:r w:rsidDel="00000000" w:rsidR="00000000" w:rsidRPr="00000000">
        <w:rPr>
          <w:rtl w:val="0"/>
        </w:rPr>
      </w:r>
    </w:p>
    <w:p w:rsidR="00000000" w:rsidDel="00000000" w:rsidP="00000000" w:rsidRDefault="00000000" w:rsidRPr="00000000" w14:paraId="000000AD">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качестве шумоизоляции использовали ДСП с звукоизолирующим материалом в виде вспененного полиэтилена.</w:t>
      </w:r>
    </w:p>
    <w:p w:rsidR="00000000" w:rsidDel="00000000" w:rsidP="00000000" w:rsidRDefault="00000000" w:rsidRPr="00000000" w14:paraId="000000AE">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В данном случае в нет необходимости в иных способах шумоизоляции, так как используемый способ снижает уровень звука до нормативных значений.</w:t>
      </w:r>
      <w:r w:rsidDel="00000000" w:rsidR="00000000" w:rsidRPr="00000000">
        <w:rPr>
          <w:rtl w:val="0"/>
        </w:rPr>
      </w:r>
    </w:p>
    <w:p w:rsidR="00000000" w:rsidDel="00000000" w:rsidP="00000000" w:rsidRDefault="00000000" w:rsidRPr="00000000" w14:paraId="000000AF">
      <w:pPr>
        <w:numPr>
          <w:ilvl w:val="0"/>
          <w:numId w:val="1"/>
        </w:numPr>
        <w:spacing w:after="200" w:line="259"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Характеристика источника шума, его особенности и связанная с этим специфика трудовой деятельности человека.</w:t>
      </w:r>
      <w:r w:rsidDel="00000000" w:rsidR="00000000" w:rsidRPr="00000000">
        <w:rPr>
          <w:rtl w:val="0"/>
        </w:rPr>
      </w:r>
    </w:p>
    <w:p w:rsidR="00000000" w:rsidDel="00000000" w:rsidP="00000000" w:rsidRDefault="00000000" w:rsidRPr="00000000" w14:paraId="000000B0">
      <w:pPr>
        <w:spacing w:after="200" w:line="259.20000000000005"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Источниками шума насосного агрегата могут быть корпус насоса, привод (например, двигатель, корпус редуктора, муфта), трубопроводы, а также другие части агрегата.</w:t>
      </w:r>
    </w:p>
    <w:p w:rsidR="00000000" w:rsidDel="00000000" w:rsidP="00000000" w:rsidRDefault="00000000" w:rsidRPr="00000000" w14:paraId="000000B1">
      <w:pPr>
        <w:spacing w:after="200" w:line="259.20000000000005"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как шум может распространяться и по трубопроводу, то нет возможности ограничить шум с помощью кожуха.</w:t>
      </w:r>
    </w:p>
    <w:p w:rsidR="00000000" w:rsidDel="00000000" w:rsidP="00000000" w:rsidRDefault="00000000" w:rsidRPr="00000000" w14:paraId="000000B2">
      <w:pPr>
        <w:spacing w:after="200" w:line="259.20000000000005"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как водяной насос используется на электростанции, то подразумевается его использовании круглосуточно. Поэтому в ночное время уровень шума будет находится на том же уровне, что необходимо учитывать.</w:t>
      </w:r>
    </w:p>
    <w:p w:rsidR="00000000" w:rsidDel="00000000" w:rsidP="00000000" w:rsidRDefault="00000000" w:rsidRPr="00000000" w14:paraId="000000B3">
      <w:pPr>
        <w:spacing w:after="200" w:line="259.20000000000005"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200" w:line="259.20000000000005"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numPr>
          <w:ilvl w:val="0"/>
          <w:numId w:val="1"/>
        </w:numPr>
        <w:spacing w:after="200" w:line="259.20000000000005"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Оценка условий труда в “тихом” помещении при отсутствии шумозащиты (с обоснованием).</w:t>
      </w:r>
      <w:r w:rsidDel="00000000" w:rsidR="00000000" w:rsidRPr="00000000">
        <w:rPr>
          <w:rtl w:val="0"/>
        </w:rPr>
      </w:r>
    </w:p>
    <w:p w:rsidR="00000000" w:rsidDel="00000000" w:rsidP="00000000" w:rsidRDefault="00000000" w:rsidRPr="00000000" w14:paraId="000000B6">
      <w:pPr>
        <w:spacing w:line="259" w:lineRule="auto"/>
        <w:ind w:left="708.6614173228347" w:firstLine="3.66141732283466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Класс условий труда - 3.4, так как текущий уровень звука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a</m:t>
            </m:r>
          </m:sub>
        </m:sSub>
      </m:oMath>
      <w:r w:rsidDel="00000000" w:rsidR="00000000" w:rsidRPr="00000000">
        <w:rPr>
          <w:rFonts w:ascii="Times New Roman" w:cs="Times New Roman" w:eastAsia="Times New Roman" w:hAnsi="Times New Roman"/>
          <w:sz w:val="24"/>
          <w:szCs w:val="24"/>
          <w:rtl w:val="0"/>
        </w:rPr>
        <w:t xml:space="preserve"> превышает нормативный более чем на 25 Дб и не превышает на 35 Дб.</w:t>
      </w:r>
      <w:r w:rsidDel="00000000" w:rsidR="00000000" w:rsidRPr="00000000">
        <w:rPr>
          <w:rtl w:val="0"/>
        </w:rPr>
      </w:r>
    </w:p>
    <w:p w:rsidR="00000000" w:rsidDel="00000000" w:rsidP="00000000" w:rsidRDefault="00000000" w:rsidRPr="00000000" w14:paraId="000000B7">
      <w:pPr>
        <w:spacing w:line="259" w:lineRule="auto"/>
        <w:ind w:left="720" w:firstLine="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8">
      <w:pPr>
        <w:numPr>
          <w:ilvl w:val="0"/>
          <w:numId w:val="1"/>
        </w:numPr>
        <w:spacing w:line="259"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Оценка условий труда в “тихом” помещении при наличии шумозащиты (с обоснованием).</w:t>
      </w:r>
    </w:p>
    <w:p w:rsidR="00000000" w:rsidDel="00000000" w:rsidP="00000000" w:rsidRDefault="00000000" w:rsidRPr="00000000" w14:paraId="000000B9">
      <w:pPr>
        <w:spacing w:line="259" w:lineRule="auto"/>
        <w:ind w:left="708.661417322834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Класс условий труда - 2, так как текущий уровень звука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a</m:t>
            </m:r>
          </m:sub>
        </m:sSub>
      </m:oMath>
      <w:r w:rsidDel="00000000" w:rsidR="00000000" w:rsidRPr="00000000">
        <w:rPr>
          <w:rFonts w:ascii="Times New Roman" w:cs="Times New Roman" w:eastAsia="Times New Roman" w:hAnsi="Times New Roman"/>
          <w:sz w:val="24"/>
          <w:szCs w:val="24"/>
          <w:rtl w:val="0"/>
        </w:rPr>
        <w:t xml:space="preserve"> не превышает нормативный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н</m:t>
            </m:r>
          </m:sub>
        </m:sSub>
      </m:oMath>
      <w:r w:rsidDel="00000000" w:rsidR="00000000" w:rsidRPr="00000000">
        <w:rPr>
          <w:rFonts w:ascii="Times New Roman" w:cs="Times New Roman" w:eastAsia="Times New Roman" w:hAnsi="Times New Roman"/>
          <w:sz w:val="24"/>
          <w:szCs w:val="24"/>
          <w:rtl w:val="0"/>
        </w:rPr>
        <w:t xml:space="preserve"> – 56 Дб &lt; 60 Дб.</w:t>
      </w:r>
      <w:r w:rsidDel="00000000" w:rsidR="00000000" w:rsidRPr="00000000">
        <w:rPr>
          <w:rtl w:val="0"/>
        </w:rPr>
      </w:r>
    </w:p>
    <w:p w:rsidR="00000000" w:rsidDel="00000000" w:rsidP="00000000" w:rsidRDefault="00000000" w:rsidRPr="00000000" w14:paraId="000000BA">
      <w:pPr>
        <w:numPr>
          <w:ilvl w:val="0"/>
          <w:numId w:val="1"/>
        </w:numPr>
        <w:spacing w:line="259"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Оценка эффективности перегородки (с обоснованием).</w:t>
      </w:r>
    </w:p>
    <w:p w:rsidR="00000000" w:rsidDel="00000000" w:rsidP="00000000" w:rsidRDefault="00000000" w:rsidRPr="00000000" w14:paraId="000000BB">
      <w:pPr>
        <w:spacing w:line="259" w:lineRule="auto"/>
        <w:ind w:left="708.6614173228347" w:firstLine="3.66141732283466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Перегородка в качестве шумозащиты показывает себя эффективной, так как при непостоянном шуме (водяного насоса электростанции) снижает уровень звука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a</m:t>
            </m:r>
          </m:sub>
        </m:sSub>
      </m:oMath>
      <w:r w:rsidDel="00000000" w:rsidR="00000000" w:rsidRPr="00000000">
        <w:rPr>
          <w:rFonts w:ascii="Times New Roman" w:cs="Times New Roman" w:eastAsia="Times New Roman" w:hAnsi="Times New Roman"/>
          <w:sz w:val="24"/>
          <w:szCs w:val="24"/>
          <w:rtl w:val="0"/>
        </w:rPr>
        <w:t xml:space="preserve"> до нормативных значений (60 Дб).</w:t>
      </w:r>
    </w:p>
    <w:p w:rsidR="00000000" w:rsidDel="00000000" w:rsidP="00000000" w:rsidRDefault="00000000" w:rsidRPr="00000000" w14:paraId="000000BC">
      <w:pPr>
        <w:spacing w:line="259" w:lineRule="auto"/>
        <w:ind w:left="708.6614173228347" w:firstLine="3.66141732283466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t xml:space="preserve">Наибольшую эффективность перегородка показала на среднегеометрической частоте 8000 Гц понизив звуковое давление на 58%</w:t>
      </w:r>
      <w:r w:rsidDel="00000000" w:rsidR="00000000" w:rsidRPr="00000000">
        <w:rPr>
          <w:rtl w:val="0"/>
        </w:rPr>
      </w:r>
    </w:p>
    <w:p w:rsidR="00000000" w:rsidDel="00000000" w:rsidP="00000000" w:rsidRDefault="00000000" w:rsidRPr="00000000" w14:paraId="000000BD">
      <w:pPr>
        <w:numPr>
          <w:ilvl w:val="0"/>
          <w:numId w:val="1"/>
        </w:numPr>
        <w:spacing w:line="259"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 недостаточной эффективности перегородки предложить дополнительные меры шумозащиты в дополнение к используемому варианту.</w:t>
      </w:r>
    </w:p>
    <w:p w:rsidR="00000000" w:rsidDel="00000000" w:rsidP="00000000" w:rsidRDefault="00000000" w:rsidRPr="00000000" w14:paraId="000000BE">
      <w:pPr>
        <w:spacing w:line="259" w:lineRule="auto"/>
        <w:ind w:left="708.6614173228347" w:firstLine="3.66141732283466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Необходимость в дополнительных мерах шумозащиты отсутствует.</w:t>
      </w:r>
    </w:p>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C0">
      <w:pPr>
        <w:rPr>
          <w:rFonts w:ascii="Times New Roman" w:cs="Times New Roman" w:eastAsia="Times New Roman" w:hAnsi="Times New Roman"/>
          <w:sz w:val="28"/>
          <w:szCs w:val="28"/>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ru-RU"/>
      </w:rPr>
    </w:rPrDefault>
    <w:pPrDefault>
      <w:pPr>
        <w:spacing w:after="160" w:line="252.0000000000000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JSi84vy1QPesMZedCrilp06AvQ==">CgMxLjA4AHIhMTFxSkxpWlFqWDhOaU54el83QWkwcHJSeDlxakg5S2Uw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