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b24xtmfq5kd" w:id="0"/>
      <w:bookmarkEnd w:id="0"/>
      <w:r w:rsidDel="00000000" w:rsidR="00000000" w:rsidRPr="00000000">
        <w:rPr>
          <w:rtl w:val="0"/>
        </w:rPr>
        <w:t xml:space="preserve">Code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 - Mason / Gavin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Reader - Brian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Recorder - Shelli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Organizer - Mallika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jwz7j6ke5el" w:id="1"/>
      <w:bookmarkEnd w:id="1"/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coverage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Cyclomatic complexity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Coupling factor-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jxbk6gdsayp" w:id="2"/>
      <w:bookmarkEnd w:id="2"/>
      <w:r w:rsidDel="00000000" w:rsidR="00000000" w:rsidRPr="00000000">
        <w:rPr>
          <w:rtl w:val="0"/>
        </w:rPr>
        <w:t xml:space="preserve">Possible 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http://blog.jetbrains.com/idea/2014/09/touring-plugins-issue-1/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