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rtl w:val="0"/>
        </w:rPr>
        <w:t xml:space="preserve">Brian Quezada</w:t>
      </w:r>
    </w:p>
    <w:p w:rsidR="00000000" w:rsidDel="00000000" w:rsidP="00000000" w:rsidRDefault="00000000" w:rsidRPr="00000000">
      <w:pPr>
        <w:spacing w:line="360" w:lineRule="auto"/>
        <w:contextualSpacing w:val="0"/>
        <w:jc w:val="right"/>
      </w:pPr>
      <w:r w:rsidDel="00000000" w:rsidR="00000000" w:rsidRPr="00000000">
        <w:rPr>
          <w:rtl w:val="0"/>
        </w:rPr>
        <w:t xml:space="preserve">2/11/16</w:t>
      </w:r>
    </w:p>
    <w:p w:rsidR="00000000" w:rsidDel="00000000" w:rsidP="00000000" w:rsidRDefault="00000000" w:rsidRPr="00000000">
      <w:pPr>
        <w:spacing w:line="360" w:lineRule="auto"/>
        <w:contextualSpacing w:val="0"/>
        <w:jc w:val="right"/>
      </w:pPr>
      <w:r w:rsidDel="00000000" w:rsidR="00000000" w:rsidRPr="00000000">
        <w:rPr>
          <w:rtl w:val="0"/>
        </w:rPr>
        <w:t xml:space="preserve">Will Code For Food</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Coupling</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Analysis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Coupling is a measure of interdependence between classes or modules. Low coupling is ideal, as it allows for more flexible and changeable code. Changing one class will have less effects and bugs occurring throughout the rest of the program if there is low coupling. The coupling in our project is quite decent, and I would say it’s one of the metrics we’re doing better at. Afferent coupling is the number of classes used by outside classes. Efferent coupling is the number of classes that a class depends upon. These can be used to show instability, which is being covered by Gavin’s metric.</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Overall Coupling</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right"/>
            </w:pPr>
            <w:r w:rsidDel="00000000" w:rsidR="00000000" w:rsidRPr="00000000">
              <w:rPr>
                <w:rtl w:val="0"/>
              </w:rPr>
              <w:t xml:space="preserve">8.33%</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2"/>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1305"/>
        <w:gridCol w:w="1470"/>
        <w:tblGridChange w:id="0">
          <w:tblGrid>
            <w:gridCol w:w="6600"/>
            <w:gridCol w:w="1305"/>
            <w:gridCol w:w="14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Package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Afferent Coupling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Efferent Coupling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53.32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74.16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crucentralcoast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controller.api_interfaces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controller.retrieval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model.common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139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model.common.common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231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model.common.common.sorting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model.common.common.users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model.common.form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69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model.common.list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model.common.messaging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model.formTests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model.getInvolved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model.resources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model.ridesharing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284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model.ridesharingTests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117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values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view.common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373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view.getinvolved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view.resources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view.ridesharing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198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view.summermissions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68</w:t>
            </w:r>
          </w:p>
        </w:tc>
      </w:tr>
    </w:tbl>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476875" cy="3219450"/>
            <wp:effectExtent b="0" l="0" r="0" t="0"/>
            <wp:docPr descr="Coupling_html_7352c012.jpg" id="1" name="image01.jpg"/>
            <a:graphic>
              <a:graphicData uri="http://schemas.openxmlformats.org/drawingml/2006/picture">
                <pic:pic>
                  <pic:nvPicPr>
                    <pic:cNvPr descr="Coupling_html_7352c012.jpg" id="0" name="image01.jpg"/>
                    <pic:cNvPicPr preferRelativeResize="0"/>
                  </pic:nvPicPr>
                  <pic:blipFill>
                    <a:blip r:embed="rId5"/>
                    <a:srcRect b="0" l="0" r="0" t="0"/>
                    <a:stretch>
                      <a:fillRect/>
                    </a:stretch>
                  </pic:blipFill>
                  <pic:spPr>
                    <a:xfrm>
                      <a:off x="0" y="0"/>
                      <a:ext cx="5476875" cy="32194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