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Mason Stevenson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2/12/2016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WC4F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Metric Chosen: Story Point Estimation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Metric Results (for full datasheet, please refer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TimeTrackingReport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1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2910"/>
        <w:gridCol w:w="2250"/>
        <w:gridCol w:w="1500"/>
        <w:tblGridChange w:id="0">
          <w:tblGrid>
            <w:gridCol w:w="1500"/>
            <w:gridCol w:w="2910"/>
            <w:gridCol w:w="2250"/>
            <w:gridCol w:w="1500"/>
          </w:tblGrid>
        </w:tblGridChange>
      </w:tblGrid>
      <w:tr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Original Time Estimated (hr)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Total Time Spent (hr)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dd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shd w:fill="dddddd" w:val="clear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201.02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329.22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-128.20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metric records how accurate our team has been at estimating user stories. The “Accuracy” field is just the difference between the total time spent, and total time estimated. A positive accuracy means that the team overestimated the required time, and a negative number means the team underestimated it. The ultimate goal is to have the accuracy field as close to 0 as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far, this results page shows the total time estimated and spent for sprints 1 and 2. Unfortunately, JIRA did not offer a nice way to break these number down by sprint. As you can see, our team underestimated the hours for sprints 1 and 2 by 128 hours total.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That’s not particularly great. Due to these results, our team should more carefully analyze our time estimates in the future.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s/d/1n6pk97rDKJJ___YSWbWsB0jh5HCgoGhIqN8Ph61JNHM/edit?usp=sharing" TargetMode="External"/></Relationships>
</file>