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Deep Dive</w:t>
      </w:r>
    </w:p>
    <w:p>
      <w:r>
        <w:t>The Q3 revenue infographic breaks results into three segments. Enterprise was the largest contributor and grew 18% year-over-year, driven by upsell campaigns and three new logo wins. SMB was stable, while Consumer declined slightly due to seasonal softness.</w:t>
      </w:r>
    </w:p>
    <w:p>
      <w:r>
        <w:t>Overall company revenue grew 12% YoY to $48M. Gross margin expanded 150bps to 72%.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