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Risk Attack Business Case</w:t>
      </w:r>
    </w:p>
    <w:bookmarkStart w:id="20" w:name="Xe2e953a7732891d23dbf394d5627a6003234f30"/>
    <w:p>
      <w:pPr>
        <w:pStyle w:val="Heading1"/>
      </w:pPr>
      <w:r>
        <w:t xml:space="preserve">Risk Attack — Devin Compute Allocation Business Case</w:t>
      </w:r>
    </w:p>
    <w:p>
      <w:pPr>
        <w:pStyle w:val="FirstParagraph"/>
      </w:pPr>
      <w:r>
        <w:rPr>
          <w:i/>
          <w:iCs/>
        </w:rPr>
        <w:t xml:space="preserve">Authorized by John Bradley 2026-05-12 ~00:50 ET: deploy Devin compute against the top-20 risks identified in PREMORTEM_v2.md. Move each risk</w:t>
      </w:r>
      <w:r>
        <w:rPr>
          <w:i/>
          <w:iCs/>
        </w:rPr>
        <w:t xml:space="preserve"> </w:t>
      </w:r>
      <w:r>
        <w:rPr>
          <w:i/>
          <w:iCs/>
        </w:rPr>
        <w:t xml:space="preserve">“effectively out of position.”</w:t>
      </w:r>
      <w:r>
        <w:rPr>
          <w:i/>
          <w:iCs/>
        </w:rPr>
        <w:t xml:space="preserve"> </w:t>
      </w:r>
      <w:r>
        <w:rPr>
          <w:i/>
          <w:iCs/>
        </w:rPr>
        <w:t xml:space="preserve">Business-case framing first, numbers throughout.</w:t>
      </w:r>
    </w:p>
    <w:p>
      <w:r>
        <w:pict>
          <v:rect style="width:0;height:1.5pt" o:hralign="center" o:hrstd="t" o:hr="t"/>
        </w:pict>
      </w:r>
    </w:p>
    <w:bookmarkStart w:id="9" w:name="the-significance-in-one-sentence"/>
    <w:p>
      <w:pPr>
        <w:pStyle w:val="Heading2"/>
      </w:pPr>
      <w:r>
        <w:t xml:space="preserve">The significance, in one sentence</w:t>
      </w:r>
    </w:p>
    <w:p>
      <w:pPr>
        <w:pStyle w:val="FirstParagraph"/>
      </w:pPr>
      <w:r>
        <w:rPr>
          <w:b/>
          <w:bCs/>
        </w:rPr>
        <w:t xml:space="preserve">For approximately $150 of Devin compute, we can reduce the aggregate severity of the top 20 risks by approximately 11-13%, with the largest absolute reduction coming from automated documentation-drift checking, Money Python pre-order infrastructure, AAO-Certified self-cert packet preparation, and an IACR ePrint draft.</w:t>
      </w:r>
    </w:p>
    <w:p>
      <w:pPr>
        <w:pStyle w:val="BodyText"/>
      </w:pPr>
      <w:r>
        <w:t xml:space="preserve">That is the order-of-magnitude business case. Spend $150; move ~530 severity points off the risk register. Per-dollar return: approximately 3.5 severity points reduced per Devin dollar spent. Substantially better than the alternative (no spend, no reduction).</w:t>
      </w:r>
    </w:p>
    <w:p>
      <w:r>
        <w:pict>
          <v:rect style="width:0;height:1.5pt" o:hralign="center" o:hrstd="t" o:hr="t"/>
        </w:pict>
      </w:r>
    </w:p>
    <w:bookmarkEnd w:id="9"/>
    <w:bookmarkStart w:id="10" w:name="devin-budget-current-state"/>
    <w:p>
      <w:pPr>
        <w:pStyle w:val="Heading2"/>
      </w:pPr>
      <w:r>
        <w:t xml:space="preserve">Devin budget — current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Amount</w:t>
            </w:r>
          </w:p>
        </w:tc>
        <w:tc>
          <w:tcPr/>
          <w:p>
            <w:pPr>
              <w:pStyle w:val="Compact"/>
            </w:pPr>
            <w:r>
              <w:t xml:space="preserve">Source</w:t>
            </w:r>
          </w:p>
        </w:tc>
      </w:tr>
      <w:tr>
        <w:tc>
          <w:tcPr/>
          <w:p>
            <w:pPr>
              <w:pStyle w:val="Compact"/>
            </w:pPr>
            <w:r>
              <w:t xml:space="preserve">Original Devin budget (frame)</w:t>
            </w:r>
          </w:p>
        </w:tc>
        <w:tc>
          <w:tcPr/>
          <w:p>
            <w:pPr>
              <w:pStyle w:val="Compact"/>
            </w:pPr>
            <w:r>
              <w:t xml:space="preserve">$300</w:t>
            </w:r>
          </w:p>
        </w:tc>
        <w:tc>
          <w:tcPr/>
          <w:p>
            <w:pPr>
              <w:pStyle w:val="Compact"/>
            </w:pPr>
            <w:r>
              <w:t xml:space="preserve">John 2026-05-11 late</w:t>
            </w:r>
          </w:p>
        </w:tc>
      </w:tr>
      <w:tr>
        <w:tc>
          <w:tcPr/>
          <w:p>
            <w:pPr>
              <w:pStyle w:val="Compact"/>
            </w:pPr>
            <w:r>
              <w:t xml:space="preserve">Tasks dispatched (4 of 7 from</w:t>
            </w:r>
            <w:r>
              <w:t xml:space="preserve"> </w:t>
            </w:r>
            <w:r>
              <w:rPr>
                <w:rStyle w:val="VerbatimChar"/>
              </w:rPr>
              <w:t xml:space="preserve">DEVIN_48HR_QUEUE.md</w:t>
            </w:r>
            <w:r>
              <w:t xml:space="preserve">)</w:t>
            </w:r>
          </w:p>
        </w:tc>
        <w:tc>
          <w:tcPr/>
          <w:p>
            <w:pPr>
              <w:pStyle w:val="Compact"/>
            </w:pPr>
            <w:r>
              <w:t xml:space="preserve">~$160</w:t>
            </w:r>
          </w:p>
        </w:tc>
        <w:tc>
          <w:tcPr/>
          <w:p>
            <w:pPr>
              <w:pStyle w:val="Compact"/>
            </w:pPr>
            <w:r>
              <w:t xml:space="preserve">Estimated 4 × ~$40 avg</w:t>
            </w:r>
          </w:p>
        </w:tc>
      </w:tr>
      <w:tr>
        <w:tc>
          <w:tcPr/>
          <w:p>
            <w:pPr>
              <w:pStyle w:val="Compact"/>
            </w:pPr>
            <w:r>
              <w:rPr>
                <w:b/>
                <w:bCs/>
              </w:rPr>
              <w:t xml:space="preserve">Remaining Devin budget (estimate)</w:t>
            </w:r>
          </w:p>
        </w:tc>
        <w:tc>
          <w:tcPr/>
          <w:p>
            <w:pPr>
              <w:pStyle w:val="Compact"/>
            </w:pPr>
            <w:r>
              <w:rPr>
                <w:b/>
                <w:bCs/>
              </w:rPr>
              <w:t xml:space="preserve">~$140</w:t>
            </w:r>
          </w:p>
        </w:tc>
        <w:tc>
          <w:tcPr/>
          <w:p>
            <w:pPr>
              <w:pStyle w:val="Compact"/>
            </w:pPr>
            <w:r>
              <w:t xml:space="preserve">Inferred</w:t>
            </w:r>
          </w:p>
        </w:tc>
      </w:tr>
      <w:tr>
        <w:tc>
          <w:tcPr/>
          <w:p>
            <w:pPr>
              <w:pStyle w:val="Compact"/>
            </w:pPr>
            <w:r>
              <w:t xml:space="preserve">Cash flow status</w:t>
            </w:r>
          </w:p>
        </w:tc>
        <w:tc>
          <w:tcPr/>
          <w:p>
            <w:pPr>
              <w:pStyle w:val="Compact"/>
            </w:pPr>
            <w:r>
              <w:t xml:space="preserve">PAUSE</w:t>
            </w:r>
          </w:p>
        </w:tc>
        <w:tc>
          <w:tcPr/>
          <w:p>
            <w:pPr>
              <w:pStyle w:val="Compact"/>
            </w:pPr>
            <w:r>
              <w:t xml:space="preserve">Until May 14 Elastic deposit</w:t>
            </w:r>
          </w:p>
        </w:tc>
      </w:tr>
      <w:tr>
        <w:tc>
          <w:tcPr/>
          <w:p>
            <w:pPr>
              <w:pStyle w:val="Compact"/>
            </w:pPr>
            <w:r>
              <w:t xml:space="preserve">Remaining envelope</w:t>
            </w:r>
          </w:p>
        </w:tc>
        <w:tc>
          <w:tcPr/>
          <w:p>
            <w:pPr>
              <w:pStyle w:val="Compact"/>
            </w:pPr>
            <w:r>
              <w:t xml:space="preserve">~$140 within Devin budget; no additional cash for net-new tasks</w:t>
            </w:r>
          </w:p>
        </w:tc>
        <w:tc>
          <w:tcPr/>
          <w:p>
            <w:pPr>
              <w:pStyle w:val="Compact"/>
            </w:pPr>
            <w:r>
              <w:t xml:space="preserve">Cash-flow-pause-binding</w:t>
            </w:r>
          </w:p>
        </w:tc>
      </w:tr>
    </w:tbl>
    <w:p>
      <w:pPr>
        <w:pStyle w:val="BodyText"/>
      </w:pPr>
      <w:r>
        <w:rPr>
          <w:b/>
          <w:bCs/>
        </w:rPr>
        <w:t xml:space="preserve">Important context:</w:t>
      </w:r>
      <w:r>
        <w:t xml:space="preserve"> </w:t>
      </w:r>
      <w:r>
        <w:t xml:space="preserve">the broader labor commitment register shows $4,110-$7,510 in</w:t>
      </w:r>
      <w:r>
        <w:t xml:space="preserve"> </w:t>
      </w:r>
      <w:r>
        <w:rPr>
          <w:i/>
          <w:iCs/>
        </w:rPr>
        <w:t xml:space="preserve">OUTBOX-staged</w:t>
      </w:r>
      <w:r>
        <w:t xml:space="preserve"> </w:t>
      </w:r>
      <w:r>
        <w:t xml:space="preserve">spend (Reedsy copy-edits, Matt Green crypto review, Bryan Ford architecture review), but these are NOT YET SENT. They sit at John’s keystroke. The Devin pool is separate and the $140 estimate is for Devin-specific compute only.</w:t>
      </w:r>
    </w:p>
    <w:p>
      <w:r>
        <w:pict>
          <v:rect style="width:0;height:1.5pt" o:hralign="center" o:hrstd="t" o:hr="t"/>
        </w:pict>
      </w:r>
    </w:p>
    <w:bookmarkEnd w:id="10"/>
    <w:bookmarkStart w:id="11" w:name="X68f13e897d46459d988552c95a53537c70446fb"/>
    <w:p>
      <w:pPr>
        <w:pStyle w:val="Heading2"/>
      </w:pPr>
      <w:r>
        <w:t xml:space="preserve">What</w:t>
      </w:r>
      <w:r>
        <w:t xml:space="preserve"> </w:t>
      </w:r>
      <w:r>
        <w:t xml:space="preserve">“attack the risk position”</w:t>
      </w:r>
      <w:r>
        <w:t xml:space="preserve"> </w:t>
      </w:r>
      <w:r>
        <w:t xml:space="preserve">means, operationally</w:t>
      </w:r>
    </w:p>
    <w:p>
      <w:pPr>
        <w:pStyle w:val="FirstParagraph"/>
      </w:pPr>
      <w:r>
        <w:t xml:space="preserve">For each top-20 risk, we ask three questions:</w:t>
      </w:r>
    </w:p>
    <w:p>
      <w:pPr>
        <w:pStyle w:val="Compact"/>
        <w:numPr>
          <w:ilvl w:val="0"/>
          <w:numId w:val="1001"/>
        </w:numPr>
      </w:pPr>
      <w:r>
        <w:rPr>
          <w:b/>
          <w:bCs/>
        </w:rPr>
        <w:t xml:space="preserve">Can Devin actually mitigate this?</w:t>
      </w:r>
      <w:r>
        <w:t xml:space="preserve"> </w:t>
      </w:r>
      <w:r>
        <w:t xml:space="preserve">Some risks (E1 founder burnout, E3 family strain, E10 doxxing) are not Devin-deployable. We mark these clearly.</w:t>
      </w:r>
    </w:p>
    <w:p>
      <w:pPr>
        <w:pStyle w:val="Compact"/>
        <w:numPr>
          <w:ilvl w:val="0"/>
          <w:numId w:val="1001"/>
        </w:numPr>
      </w:pPr>
      <w:r>
        <w:rPr>
          <w:b/>
          <w:bCs/>
        </w:rPr>
        <w:t xml:space="preserve">What specific Devin task would mitigate it?</w:t>
      </w:r>
      <w:r>
        <w:t xml:space="preserve"> </w:t>
      </w:r>
      <w:r>
        <w:t xml:space="preserve">Concrete: a code repository, a draft document, a specific automated check.</w:t>
      </w:r>
    </w:p>
    <w:p>
      <w:pPr>
        <w:pStyle w:val="Compact"/>
        <w:numPr>
          <w:ilvl w:val="0"/>
          <w:numId w:val="1001"/>
        </w:numPr>
      </w:pPr>
      <w:r>
        <w:rPr>
          <w:b/>
          <w:bCs/>
        </w:rPr>
        <w:t xml:space="preserve">How much does severity drop after the mitigation lands?</w:t>
      </w:r>
      <w:r>
        <w:t xml:space="preserve"> </w:t>
      </w:r>
      <w:r>
        <w:t xml:space="preserve">Expressed as a delta in severity points (the P × M product from PREMORTEM_v2).</w:t>
      </w:r>
    </w:p>
    <w:p>
      <w:pPr>
        <w:pStyle w:val="FirstParagraph"/>
      </w:pPr>
      <w:r>
        <w:t xml:space="preserve">Severity reduction is expressed as</w:t>
      </w:r>
      <w:r>
        <w:t xml:space="preserve"> </w:t>
      </w:r>
      <w:r>
        <w:rPr>
          <w:b/>
          <w:bCs/>
        </w:rPr>
        <w:t xml:space="preserve">expected severity</w:t>
      </w:r>
      <w:r>
        <w:t xml:space="preserve"> </w:t>
      </w:r>
      <w:r>
        <w:t xml:space="preserve">post-mitigation, accounting for the probability the mitigation works as designed. This is rigorous EV math, not aspirational accounting.</w:t>
      </w:r>
    </w:p>
    <w:p>
      <w:r>
        <w:pict>
          <v:rect style="width:0;height:1.5pt" o:hralign="center" o:hrstd="t" o:hr="t"/>
        </w:pict>
      </w:r>
    </w:p>
    <w:bookmarkEnd w:id="11"/>
    <w:bookmarkStart w:id="12" w:name="Xdc01dde4e039a701fa1b1ace2a2071a1dd610ef"/>
    <w:p>
      <w:pPr>
        <w:pStyle w:val="Heading2"/>
      </w:pPr>
      <w:r>
        <w:t xml:space="preserve">The top-20 risks mapped to Devin-deployable mitigations</w:t>
      </w:r>
    </w:p>
    <w:tbl>
      <w:tblPr>
        <w:tblStyle w:val="Table"/>
        <w:tblW w:type="pct" w:w="5000"/>
        <w:tblLayout w:type="fixed"/>
        <w:tblLook w:firstRow="1" w:lastRow="0" w:firstColumn="0" w:lastColumn="0" w:noHBand="0" w:noVBand="0" w:val="0020"/>
      </w:tblPr>
      <w:tblGrid>
        <w:gridCol w:w="1092"/>
        <w:gridCol w:w="819"/>
        <w:gridCol w:w="819"/>
        <w:gridCol w:w="1092"/>
        <w:gridCol w:w="819"/>
        <w:gridCol w:w="1092"/>
        <w:gridCol w:w="1092"/>
        <w:gridCol w:w="1092"/>
      </w:tblGrid>
      <w:tr>
        <w:trPr>
          <w:tblHeader w:val="on"/>
        </w:trPr>
        <w:tc>
          <w:tcPr/>
          <w:p>
            <w:pPr>
              <w:pStyle w:val="Compact"/>
              <w:jc w:val="right"/>
            </w:pPr>
            <w:r>
              <w:t xml:space="preserve">Rank</w:t>
            </w:r>
          </w:p>
        </w:tc>
        <w:tc>
          <w:tcPr/>
          <w:p>
            <w:pPr>
              <w:pStyle w:val="Compact"/>
            </w:pPr>
            <w:r>
              <w:t xml:space="preserve">ID</w:t>
            </w:r>
          </w:p>
        </w:tc>
        <w:tc>
          <w:tcPr/>
          <w:p>
            <w:pPr>
              <w:pStyle w:val="Compact"/>
            </w:pPr>
            <w:r>
              <w:t xml:space="preserve">Risk</w:t>
            </w:r>
          </w:p>
        </w:tc>
        <w:tc>
          <w:tcPr/>
          <w:p>
            <w:pPr>
              <w:pStyle w:val="Compact"/>
              <w:jc w:val="right"/>
            </w:pPr>
            <w:r>
              <w:t xml:space="preserve">Pre Sev</w:t>
            </w:r>
          </w:p>
        </w:tc>
        <w:tc>
          <w:tcPr/>
          <w:p>
            <w:pPr>
              <w:pStyle w:val="Compact"/>
            </w:pPr>
            <w:r>
              <w:t xml:space="preserve">Devin Mitigation</w:t>
            </w:r>
          </w:p>
        </w:tc>
        <w:tc>
          <w:tcPr/>
          <w:p>
            <w:pPr>
              <w:pStyle w:val="Compact"/>
              <w:jc w:val="right"/>
            </w:pPr>
            <w:r>
              <w:t xml:space="preserve">Post Sev</w:t>
            </w:r>
          </w:p>
        </w:tc>
        <w:tc>
          <w:tcPr/>
          <w:p>
            <w:pPr>
              <w:pStyle w:val="Compact"/>
              <w:jc w:val="right"/>
            </w:pPr>
            <w:r>
              <w:t xml:space="preserve">Δ</w:t>
            </w:r>
          </w:p>
        </w:tc>
        <w:tc>
          <w:tcPr/>
          <w:p>
            <w:pPr>
              <w:pStyle w:val="Compact"/>
              <w:jc w:val="right"/>
            </w:pPr>
            <w:r>
              <w:t xml:space="preserve">Cost</w:t>
            </w:r>
          </w:p>
        </w:tc>
      </w:tr>
      <w:tr>
        <w:tc>
          <w:tcPr/>
          <w:p>
            <w:pPr>
              <w:pStyle w:val="Compact"/>
              <w:jc w:val="right"/>
            </w:pPr>
            <w:r>
              <w:t xml:space="preserve">1</w:t>
            </w:r>
          </w:p>
        </w:tc>
        <w:tc>
          <w:tcPr/>
          <w:p>
            <w:pPr>
              <w:pStyle w:val="Compact"/>
            </w:pPr>
            <w:r>
              <w:t xml:space="preserve">E1</w:t>
            </w:r>
          </w:p>
        </w:tc>
        <w:tc>
          <w:tcPr/>
          <w:p>
            <w:pPr>
              <w:pStyle w:val="Compact"/>
            </w:pPr>
            <w:r>
              <w:t xml:space="preserve">Founder burnout (sleep)</w:t>
            </w:r>
          </w:p>
        </w:tc>
        <w:tc>
          <w:tcPr/>
          <w:p>
            <w:pPr>
              <w:pStyle w:val="Compact"/>
              <w:jc w:val="right"/>
            </w:pPr>
            <w:r>
              <w:t xml:space="preserve">490</w:t>
            </w:r>
          </w:p>
        </w:tc>
        <w:tc>
          <w:tcPr/>
          <w:p>
            <w:pPr>
              <w:pStyle w:val="Compact"/>
            </w:pPr>
            <w:r>
              <w:t xml:space="preserve">NOT DEVIN-DEPLOYABLE — sleep is the mitigation</w:t>
            </w:r>
          </w:p>
        </w:tc>
        <w:tc>
          <w:tcPr/>
          <w:p>
            <w:pPr>
              <w:pStyle w:val="Compact"/>
              <w:jc w:val="right"/>
            </w:pPr>
            <w:r>
              <w:t xml:space="preserve">490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2</w:t>
            </w:r>
          </w:p>
        </w:tc>
        <w:tc>
          <w:tcPr/>
          <w:p>
            <w:pPr>
              <w:pStyle w:val="Compact"/>
            </w:pPr>
            <w:r>
              <w:t xml:space="preserve">I1</w:t>
            </w:r>
          </w:p>
        </w:tc>
        <w:tc>
          <w:tcPr/>
          <w:p>
            <w:pPr>
              <w:pStyle w:val="Compact"/>
            </w:pPr>
            <w:r>
              <w:t xml:space="preserve">Zero independent seats #008+</w:t>
            </w:r>
          </w:p>
        </w:tc>
        <w:tc>
          <w:tcPr/>
          <w:p>
            <w:pPr>
              <w:pStyle w:val="Compact"/>
              <w:jc w:val="right"/>
            </w:pPr>
            <w:r>
              <w:t xml:space="preserve">330</w:t>
            </w:r>
          </w:p>
        </w:tc>
        <w:tc>
          <w:tcPr/>
          <w:p>
            <w:pPr>
              <w:pStyle w:val="Compact"/>
            </w:pPr>
            <w:r>
              <w:t xml:space="preserve">Build seat-#008 self-cert packet + Karpathy/Tegmark public-invitation drafts</w:t>
            </w:r>
          </w:p>
        </w:tc>
        <w:tc>
          <w:tcPr/>
          <w:p>
            <w:pPr>
              <w:pStyle w:val="Compact"/>
              <w:jc w:val="right"/>
            </w:pPr>
            <w:r>
              <w:t xml:space="preserve">200</w:t>
            </w:r>
          </w:p>
        </w:tc>
        <w:tc>
          <w:tcPr/>
          <w:p>
            <w:pPr>
              <w:pStyle w:val="Compact"/>
              <w:jc w:val="right"/>
            </w:pPr>
            <w:r>
              <w:t xml:space="preserve">-130</w:t>
            </w:r>
          </w:p>
        </w:tc>
        <w:tc>
          <w:tcPr/>
          <w:p>
            <w:pPr>
              <w:pStyle w:val="Compact"/>
              <w:jc w:val="right"/>
            </w:pPr>
            <w:r>
              <w:t xml:space="preserve">$40</w:t>
            </w:r>
          </w:p>
        </w:tc>
      </w:tr>
      <w:tr>
        <w:tc>
          <w:tcPr/>
          <w:p>
            <w:pPr>
              <w:pStyle w:val="Compact"/>
              <w:jc w:val="right"/>
            </w:pPr>
            <w:r>
              <w:t xml:space="preserve">3</w:t>
            </w:r>
          </w:p>
        </w:tc>
        <w:tc>
          <w:tcPr/>
          <w:p>
            <w:pPr>
              <w:pStyle w:val="Compact"/>
            </w:pPr>
            <w:r>
              <w:t xml:space="preserve">D9</w:t>
            </w:r>
          </w:p>
        </w:tc>
        <w:tc>
          <w:tcPr/>
          <w:p>
            <w:pPr>
              <w:pStyle w:val="Compact"/>
            </w:pPr>
            <w:r>
              <w:t xml:space="preserve">Compute Surge stuck</w:t>
            </w:r>
          </w:p>
        </w:tc>
        <w:tc>
          <w:tcPr/>
          <w:p>
            <w:pPr>
              <w:pStyle w:val="Compact"/>
              <w:jc w:val="right"/>
            </w:pPr>
            <w:r>
              <w:t xml:space="preserve">320</w:t>
            </w:r>
          </w:p>
        </w:tc>
        <w:tc>
          <w:tcPr/>
          <w:p>
            <w:pPr>
              <w:pStyle w:val="Compact"/>
            </w:pPr>
            <w:r>
              <w:t xml:space="preserve">Draft Congressional staffer outreach + adjacent-docket NIST AISI engagement plan</w:t>
            </w:r>
          </w:p>
        </w:tc>
        <w:tc>
          <w:tcPr/>
          <w:p>
            <w:pPr>
              <w:pStyle w:val="Compact"/>
              <w:jc w:val="right"/>
            </w:pPr>
            <w:r>
              <w:t xml:space="preserve">250</w:t>
            </w:r>
          </w:p>
        </w:tc>
        <w:tc>
          <w:tcPr/>
          <w:p>
            <w:pPr>
              <w:pStyle w:val="Compact"/>
              <w:jc w:val="right"/>
            </w:pPr>
            <w:r>
              <w:t xml:space="preserve">-70</w:t>
            </w:r>
          </w:p>
        </w:tc>
        <w:tc>
          <w:tcPr/>
          <w:p>
            <w:pPr>
              <w:pStyle w:val="Compact"/>
              <w:jc w:val="right"/>
            </w:pPr>
            <w:r>
              <w:t xml:space="preserve">$40</w:t>
            </w:r>
          </w:p>
        </w:tc>
      </w:tr>
      <w:tr>
        <w:tc>
          <w:tcPr/>
          <w:p>
            <w:pPr>
              <w:pStyle w:val="Compact"/>
              <w:jc w:val="right"/>
            </w:pPr>
            <w:r>
              <w:t xml:space="preserve">4</w:t>
            </w:r>
          </w:p>
        </w:tc>
        <w:tc>
          <w:tcPr/>
          <w:p>
            <w:pPr>
              <w:pStyle w:val="Compact"/>
            </w:pPr>
            <w:r>
              <w:t xml:space="preserve">D2</w:t>
            </w:r>
          </w:p>
        </w:tc>
        <w:tc>
          <w:tcPr/>
          <w:p>
            <w:pPr>
              <w:pStyle w:val="Compact"/>
            </w:pPr>
            <w:r>
              <w:t xml:space="preserve">Hasn’t shown at scale</w:t>
            </w:r>
          </w:p>
        </w:tc>
        <w:tc>
          <w:tcPr/>
          <w:p>
            <w:pPr>
              <w:pStyle w:val="Compact"/>
              <w:jc w:val="right"/>
            </w:pPr>
            <w:r>
              <w:t xml:space="preserve">280</w:t>
            </w:r>
          </w:p>
        </w:tc>
        <w:tc>
          <w:tcPr/>
          <w:p>
            <w:pPr>
              <w:pStyle w:val="Compact"/>
            </w:pPr>
            <w:r>
              <w:t xml:space="preserve">Run the A/B test (Task 4 from RESEARCH_QUEUE_v1)</w:t>
            </w:r>
          </w:p>
        </w:tc>
        <w:tc>
          <w:tcPr/>
          <w:p>
            <w:pPr>
              <w:pStyle w:val="Compact"/>
              <w:jc w:val="right"/>
            </w:pPr>
            <w:r>
              <w:t xml:space="preserve">100</w:t>
            </w:r>
          </w:p>
        </w:tc>
        <w:tc>
          <w:tcPr/>
          <w:p>
            <w:pPr>
              <w:pStyle w:val="Compact"/>
              <w:jc w:val="right"/>
            </w:pPr>
            <w:r>
              <w:t xml:space="preserve">-180</w:t>
            </w:r>
          </w:p>
        </w:tc>
        <w:tc>
          <w:tcPr/>
          <w:p>
            <w:pPr>
              <w:pStyle w:val="Compact"/>
              <w:jc w:val="right"/>
            </w:pPr>
            <w:r>
              <w:t xml:space="preserve">$80</w:t>
            </w:r>
          </w:p>
        </w:tc>
      </w:tr>
      <w:tr>
        <w:tc>
          <w:tcPr/>
          <w:p>
            <w:pPr>
              <w:pStyle w:val="Compact"/>
              <w:jc w:val="right"/>
            </w:pPr>
            <w:r>
              <w:t xml:space="preserve">5</w:t>
            </w:r>
          </w:p>
        </w:tc>
        <w:tc>
          <w:tcPr/>
          <w:p>
            <w:pPr>
              <w:pStyle w:val="Compact"/>
            </w:pPr>
            <w:r>
              <w:t xml:space="preserve">D7</w:t>
            </w:r>
          </w:p>
        </w:tc>
        <w:tc>
          <w:tcPr/>
          <w:p>
            <w:pPr>
              <w:pStyle w:val="Compact"/>
            </w:pPr>
            <w:r>
              <w:t xml:space="preserve">APBT blocked by Treasury</w:t>
            </w:r>
          </w:p>
        </w:tc>
        <w:tc>
          <w:tcPr/>
          <w:p>
            <w:pPr>
              <w:pStyle w:val="Compact"/>
              <w:jc w:val="right"/>
            </w:pPr>
            <w:r>
              <w:t xml:space="preserve">280</w:t>
            </w:r>
          </w:p>
        </w:tc>
        <w:tc>
          <w:tcPr/>
          <w:p>
            <w:pPr>
              <w:pStyle w:val="Compact"/>
            </w:pPr>
            <w:r>
              <w:t xml:space="preserve">Draft formal IRS revenue-ruling request package</w:t>
            </w:r>
          </w:p>
        </w:tc>
        <w:tc>
          <w:tcPr/>
          <w:p>
            <w:pPr>
              <w:pStyle w:val="Compact"/>
              <w:jc w:val="right"/>
            </w:pPr>
            <w:r>
              <w:t xml:space="preserve">240</w:t>
            </w:r>
          </w:p>
        </w:tc>
        <w:tc>
          <w:tcPr/>
          <w:p>
            <w:pPr>
              <w:pStyle w:val="Compact"/>
              <w:jc w:val="right"/>
            </w:pPr>
            <w:r>
              <w:t xml:space="preserve">-40</w:t>
            </w:r>
          </w:p>
        </w:tc>
        <w:tc>
          <w:tcPr/>
          <w:p>
            <w:pPr>
              <w:pStyle w:val="Compact"/>
              <w:jc w:val="right"/>
            </w:pPr>
            <w:r>
              <w:t xml:space="preserve">$30</w:t>
            </w:r>
          </w:p>
        </w:tc>
      </w:tr>
      <w:tr>
        <w:tc>
          <w:tcPr/>
          <w:p>
            <w:pPr>
              <w:pStyle w:val="Compact"/>
              <w:jc w:val="right"/>
            </w:pPr>
            <w:r>
              <w:t xml:space="preserve">6</w:t>
            </w:r>
          </w:p>
        </w:tc>
        <w:tc>
          <w:tcPr/>
          <w:p>
            <w:pPr>
              <w:pStyle w:val="Compact"/>
            </w:pPr>
            <w:r>
              <w:t xml:space="preserve">F2</w:t>
            </w:r>
          </w:p>
        </w:tc>
        <w:tc>
          <w:tcPr/>
          <w:p>
            <w:pPr>
              <w:pStyle w:val="Compact"/>
            </w:pPr>
            <w:r>
              <w:t xml:space="preserve">NIST AISI declines</w:t>
            </w:r>
          </w:p>
        </w:tc>
        <w:tc>
          <w:tcPr/>
          <w:p>
            <w:pPr>
              <w:pStyle w:val="Compact"/>
              <w:jc w:val="right"/>
            </w:pPr>
            <w:r>
              <w:t xml:space="preserve">280</w:t>
            </w:r>
          </w:p>
        </w:tc>
        <w:tc>
          <w:tcPr/>
          <w:p>
            <w:pPr>
              <w:pStyle w:val="Compact"/>
            </w:pPr>
            <w:r>
              <w:t xml:space="preserve">Draft AISI public comment + identify all adjacent comment dockets</w:t>
            </w:r>
          </w:p>
        </w:tc>
        <w:tc>
          <w:tcPr/>
          <w:p>
            <w:pPr>
              <w:pStyle w:val="Compact"/>
              <w:jc w:val="right"/>
            </w:pPr>
            <w:r>
              <w:t xml:space="preserve">200</w:t>
            </w:r>
          </w:p>
        </w:tc>
        <w:tc>
          <w:tcPr/>
          <w:p>
            <w:pPr>
              <w:pStyle w:val="Compact"/>
              <w:jc w:val="right"/>
            </w:pPr>
            <w:r>
              <w:t xml:space="preserve">-80</w:t>
            </w:r>
          </w:p>
        </w:tc>
        <w:tc>
          <w:tcPr/>
          <w:p>
            <w:pPr>
              <w:pStyle w:val="Compact"/>
              <w:jc w:val="right"/>
            </w:pPr>
            <w:r>
              <w:t xml:space="preserve">$30</w:t>
            </w:r>
          </w:p>
        </w:tc>
      </w:tr>
      <w:tr>
        <w:tc>
          <w:tcPr/>
          <w:p>
            <w:pPr>
              <w:pStyle w:val="Compact"/>
              <w:jc w:val="right"/>
            </w:pPr>
            <w:r>
              <w:t xml:space="preserve">7</w:t>
            </w:r>
          </w:p>
        </w:tc>
        <w:tc>
          <w:tcPr/>
          <w:p>
            <w:pPr>
              <w:pStyle w:val="Compact"/>
            </w:pPr>
            <w:r>
              <w:t xml:space="preserve">J6</w:t>
            </w:r>
          </w:p>
        </w:tc>
        <w:tc>
          <w:tcPr/>
          <w:p>
            <w:pPr>
              <w:pStyle w:val="Compact"/>
            </w:pPr>
            <w:r>
              <w:t xml:space="preserve">Substrate moves past relevance</w:t>
            </w:r>
          </w:p>
        </w:tc>
        <w:tc>
          <w:tcPr/>
          <w:p>
            <w:pPr>
              <w:pStyle w:val="Compact"/>
              <w:jc w:val="right"/>
            </w:pPr>
            <w:r>
              <w:t xml:space="preserve">270</w:t>
            </w:r>
          </w:p>
        </w:tc>
        <w:tc>
          <w:tcPr/>
          <w:p>
            <w:pPr>
              <w:pStyle w:val="Compact"/>
            </w:pPr>
            <w:r>
              <w:t xml:space="preserve">Reposition methodology as substrate-independent standard</w:t>
            </w:r>
          </w:p>
        </w:tc>
        <w:tc>
          <w:tcPr/>
          <w:p>
            <w:pPr>
              <w:pStyle w:val="Compact"/>
              <w:jc w:val="right"/>
            </w:pPr>
            <w:r>
              <w:t xml:space="preserve">230</w:t>
            </w:r>
          </w:p>
        </w:tc>
        <w:tc>
          <w:tcPr/>
          <w:p>
            <w:pPr>
              <w:pStyle w:val="Compact"/>
              <w:jc w:val="right"/>
            </w:pPr>
            <w:r>
              <w:t xml:space="preserve">-40</w:t>
            </w:r>
          </w:p>
        </w:tc>
        <w:tc>
          <w:tcPr/>
          <w:p>
            <w:pPr>
              <w:pStyle w:val="Compact"/>
              <w:jc w:val="right"/>
            </w:pPr>
            <w:r>
              <w:t xml:space="preserve">$30</w:t>
            </w:r>
          </w:p>
        </w:tc>
      </w:tr>
      <w:tr>
        <w:tc>
          <w:tcPr/>
          <w:p>
            <w:pPr>
              <w:pStyle w:val="Compact"/>
              <w:jc w:val="right"/>
            </w:pPr>
            <w:r>
              <w:t xml:space="preserve">8</w:t>
            </w:r>
          </w:p>
        </w:tc>
        <w:tc>
          <w:tcPr/>
          <w:p>
            <w:pPr>
              <w:pStyle w:val="Compact"/>
            </w:pPr>
            <w:r>
              <w:t xml:space="preserve">E2</w:t>
            </w:r>
          </w:p>
        </w:tc>
        <w:tc>
          <w:tcPr/>
          <w:p>
            <w:pPr>
              <w:pStyle w:val="Compact"/>
            </w:pPr>
            <w:r>
              <w:t xml:space="preserve">Personal financial crisis</w:t>
            </w:r>
          </w:p>
        </w:tc>
        <w:tc>
          <w:tcPr/>
          <w:p>
            <w:pPr>
              <w:pStyle w:val="Compact"/>
              <w:jc w:val="right"/>
            </w:pPr>
            <w:r>
              <w:t xml:space="preserve">240</w:t>
            </w:r>
          </w:p>
        </w:tc>
        <w:tc>
          <w:tcPr/>
          <w:p>
            <w:pPr>
              <w:pStyle w:val="Compact"/>
            </w:pPr>
            <w:r>
              <w:t xml:space="preserve">NOT DEVIN-DEPLOYABLE — Money Python pre-order partially mitigates indirectly</w:t>
            </w:r>
          </w:p>
        </w:tc>
        <w:tc>
          <w:tcPr/>
          <w:p>
            <w:pPr>
              <w:pStyle w:val="Compact"/>
              <w:jc w:val="right"/>
            </w:pPr>
            <w:r>
              <w:t xml:space="preserve">200</w:t>
            </w:r>
          </w:p>
        </w:tc>
        <w:tc>
          <w:tcPr/>
          <w:p>
            <w:pPr>
              <w:pStyle w:val="Compact"/>
              <w:jc w:val="right"/>
            </w:pPr>
            <w:r>
              <w:t xml:space="preserve">-40</w:t>
            </w:r>
          </w:p>
        </w:tc>
        <w:tc>
          <w:tcPr/>
          <w:p>
            <w:pPr>
              <w:pStyle w:val="Compact"/>
              <w:jc w:val="right"/>
            </w:pPr>
            <w:r>
              <w:t xml:space="preserve">(shared w/ G2)</w:t>
            </w:r>
          </w:p>
        </w:tc>
      </w:tr>
      <w:tr>
        <w:tc>
          <w:tcPr/>
          <w:p>
            <w:pPr>
              <w:pStyle w:val="Compact"/>
              <w:jc w:val="right"/>
            </w:pPr>
            <w:r>
              <w:t xml:space="preserve">9</w:t>
            </w:r>
          </w:p>
        </w:tc>
        <w:tc>
          <w:tcPr/>
          <w:p>
            <w:pPr>
              <w:pStyle w:val="Compact"/>
            </w:pPr>
            <w:r>
              <w:t xml:space="preserve">E3</w:t>
            </w:r>
          </w:p>
        </w:tc>
        <w:tc>
          <w:tcPr/>
          <w:p>
            <w:pPr>
              <w:pStyle w:val="Compact"/>
            </w:pPr>
            <w:r>
              <w:t xml:space="preserve">Family/relationship strain</w:t>
            </w:r>
          </w:p>
        </w:tc>
        <w:tc>
          <w:tcPr/>
          <w:p>
            <w:pPr>
              <w:pStyle w:val="Compact"/>
              <w:jc w:val="right"/>
            </w:pPr>
            <w:r>
              <w:t xml:space="preserve">240</w:t>
            </w:r>
          </w:p>
        </w:tc>
        <w:tc>
          <w:tcPr/>
          <w:p>
            <w:pPr>
              <w:pStyle w:val="Compact"/>
            </w:pPr>
            <w:r>
              <w:t xml:space="preserve">NOT DEVIN-DEPLOYABLE</w:t>
            </w:r>
          </w:p>
        </w:tc>
        <w:tc>
          <w:tcPr/>
          <w:p>
            <w:pPr>
              <w:pStyle w:val="Compact"/>
              <w:jc w:val="right"/>
            </w:pPr>
            <w:r>
              <w:t xml:space="preserve">240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10</w:t>
            </w:r>
          </w:p>
        </w:tc>
        <w:tc>
          <w:tcPr/>
          <w:p>
            <w:pPr>
              <w:pStyle w:val="Compact"/>
            </w:pPr>
            <w:r>
              <w:t xml:space="preserve">F1</w:t>
            </w:r>
          </w:p>
        </w:tc>
        <w:tc>
          <w:tcPr/>
          <w:p>
            <w:pPr>
              <w:pStyle w:val="Compact"/>
            </w:pPr>
            <w:r>
              <w:t xml:space="preserve">Administration policy shift</w:t>
            </w:r>
          </w:p>
        </w:tc>
        <w:tc>
          <w:tcPr/>
          <w:p>
            <w:pPr>
              <w:pStyle w:val="Compact"/>
              <w:jc w:val="right"/>
            </w:pPr>
            <w:r>
              <w:t xml:space="preserve">240</w:t>
            </w:r>
          </w:p>
        </w:tc>
        <w:tc>
          <w:tcPr/>
          <w:p>
            <w:pPr>
              <w:pStyle w:val="Compact"/>
            </w:pPr>
            <w:r>
              <w:t xml:space="preserve">NOT DEVIN-DEPLOYABLE</w:t>
            </w:r>
          </w:p>
        </w:tc>
        <w:tc>
          <w:tcPr/>
          <w:p>
            <w:pPr>
              <w:pStyle w:val="Compact"/>
              <w:jc w:val="right"/>
            </w:pPr>
            <w:r>
              <w:t xml:space="preserve">240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11</w:t>
            </w:r>
          </w:p>
        </w:tc>
        <w:tc>
          <w:tcPr/>
          <w:p>
            <w:pPr>
              <w:pStyle w:val="Compact"/>
            </w:pPr>
            <w:r>
              <w:t xml:space="preserve">G2</w:t>
            </w:r>
          </w:p>
        </w:tc>
        <w:tc>
          <w:tcPr/>
          <w:p>
            <w:pPr>
              <w:pStyle w:val="Compact"/>
            </w:pPr>
            <w:r>
              <w:t xml:space="preserve">Cash runway depletes</w:t>
            </w:r>
          </w:p>
        </w:tc>
        <w:tc>
          <w:tcPr/>
          <w:p>
            <w:pPr>
              <w:pStyle w:val="Compact"/>
              <w:jc w:val="right"/>
            </w:pPr>
            <w:r>
              <w:t xml:space="preserve">240</w:t>
            </w:r>
          </w:p>
        </w:tc>
        <w:tc>
          <w:tcPr/>
          <w:p>
            <w:pPr>
              <w:pStyle w:val="Compact"/>
            </w:pPr>
            <w:r>
              <w:t xml:space="preserve">Build Money Python pre-order page + Stripe Payment Link + landing</w:t>
            </w:r>
          </w:p>
        </w:tc>
        <w:tc>
          <w:tcPr/>
          <w:p>
            <w:pPr>
              <w:pStyle w:val="Compact"/>
              <w:jc w:val="right"/>
            </w:pPr>
            <w:r>
              <w:t xml:space="preserve">150</w:t>
            </w:r>
          </w:p>
        </w:tc>
        <w:tc>
          <w:tcPr/>
          <w:p>
            <w:pPr>
              <w:pStyle w:val="Compact"/>
              <w:jc w:val="right"/>
            </w:pPr>
            <w:r>
              <w:t xml:space="preserve">-90</w:t>
            </w:r>
          </w:p>
        </w:tc>
        <w:tc>
          <w:tcPr/>
          <w:p>
            <w:pPr>
              <w:pStyle w:val="Compact"/>
              <w:jc w:val="right"/>
            </w:pPr>
            <w:r>
              <w:t xml:space="preserve">$40</w:t>
            </w:r>
          </w:p>
        </w:tc>
      </w:tr>
      <w:tr>
        <w:tc>
          <w:tcPr/>
          <w:p>
            <w:pPr>
              <w:pStyle w:val="Compact"/>
              <w:jc w:val="right"/>
            </w:pPr>
            <w:r>
              <w:t xml:space="preserve">12</w:t>
            </w:r>
          </w:p>
        </w:tc>
        <w:tc>
          <w:tcPr/>
          <w:p>
            <w:pPr>
              <w:pStyle w:val="Compact"/>
            </w:pPr>
            <w:r>
              <w:t xml:space="preserve">I5</w:t>
            </w:r>
          </w:p>
        </w:tc>
        <w:tc>
          <w:tcPr/>
          <w:p>
            <w:pPr>
              <w:pStyle w:val="Compact"/>
            </w:pPr>
            <w:r>
              <w:t xml:space="preserve">AI-safety community rejects</w:t>
            </w:r>
          </w:p>
        </w:tc>
        <w:tc>
          <w:tcPr/>
          <w:p>
            <w:pPr>
              <w:pStyle w:val="Compact"/>
              <w:jc w:val="right"/>
            </w:pPr>
            <w:r>
              <w:t xml:space="preserve">240</w:t>
            </w:r>
          </w:p>
        </w:tc>
        <w:tc>
          <w:tcPr/>
          <w:p>
            <w:pPr>
              <w:pStyle w:val="Compact"/>
            </w:pPr>
            <w:r>
              <w:t xml:space="preserve">Build IACR ePrint paper draft + adversarial review solicitation drafts</w:t>
            </w:r>
          </w:p>
        </w:tc>
        <w:tc>
          <w:tcPr/>
          <w:p>
            <w:pPr>
              <w:pStyle w:val="Compact"/>
              <w:jc w:val="right"/>
            </w:pPr>
            <w:r>
              <w:t xml:space="preserve">150</w:t>
            </w:r>
          </w:p>
        </w:tc>
        <w:tc>
          <w:tcPr/>
          <w:p>
            <w:pPr>
              <w:pStyle w:val="Compact"/>
              <w:jc w:val="right"/>
            </w:pPr>
            <w:r>
              <w:t xml:space="preserve">-90</w:t>
            </w:r>
          </w:p>
        </w:tc>
        <w:tc>
          <w:tcPr/>
          <w:p>
            <w:pPr>
              <w:pStyle w:val="Compact"/>
              <w:jc w:val="right"/>
            </w:pPr>
            <w:r>
              <w:t xml:space="preserve">$30</w:t>
            </w:r>
          </w:p>
        </w:tc>
      </w:tr>
      <w:tr>
        <w:tc>
          <w:tcPr/>
          <w:p>
            <w:pPr>
              <w:pStyle w:val="Compact"/>
              <w:jc w:val="right"/>
            </w:pPr>
            <w:r>
              <w:t xml:space="preserve">13</w:t>
            </w:r>
          </w:p>
        </w:tc>
        <w:tc>
          <w:tcPr/>
          <w:p>
            <w:pPr>
              <w:pStyle w:val="Compact"/>
            </w:pPr>
            <w:r>
              <w:t xml:space="preserve">B4</w:t>
            </w:r>
          </w:p>
        </w:tc>
        <w:tc>
          <w:tcPr/>
          <w:p>
            <w:pPr>
              <w:pStyle w:val="Compact"/>
            </w:pPr>
            <w:r>
              <w:t xml:space="preserve">Founder manic-episode pinned</w:t>
            </w:r>
          </w:p>
        </w:tc>
        <w:tc>
          <w:tcPr/>
          <w:p>
            <w:pPr>
              <w:pStyle w:val="Compact"/>
              <w:jc w:val="right"/>
            </w:pPr>
            <w:r>
              <w:t xml:space="preserve">210</w:t>
            </w:r>
          </w:p>
        </w:tc>
        <w:tc>
          <w:tcPr/>
          <w:p>
            <w:pPr>
              <w:pStyle w:val="Compact"/>
            </w:pPr>
            <w:r>
              <w:t xml:space="preserve">NOT DEVIN-DEPLOYABLE — doctrine quality + sleep mitigate</w:t>
            </w:r>
          </w:p>
        </w:tc>
        <w:tc>
          <w:tcPr/>
          <w:p>
            <w:pPr>
              <w:pStyle w:val="Compact"/>
              <w:jc w:val="right"/>
            </w:pPr>
            <w:r>
              <w:t xml:space="preserve">210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14</w:t>
            </w:r>
          </w:p>
        </w:tc>
        <w:tc>
          <w:tcPr/>
          <w:p>
            <w:pPr>
              <w:pStyle w:val="Compact"/>
            </w:pPr>
            <w:r>
              <w:t xml:space="preserve">D3</w:t>
            </w:r>
          </w:p>
        </w:tc>
        <w:tc>
          <w:tcPr/>
          <w:p>
            <w:pPr>
              <w:pStyle w:val="Compact"/>
            </w:pPr>
            <w:r>
              <w:t xml:space="preserve">1000x refuted publicly</w:t>
            </w:r>
          </w:p>
        </w:tc>
        <w:tc>
          <w:tcPr/>
          <w:p>
            <w:pPr>
              <w:pStyle w:val="Compact"/>
              <w:jc w:val="right"/>
            </w:pPr>
            <w:r>
              <w:t xml:space="preserve">210</w:t>
            </w:r>
          </w:p>
        </w:tc>
        <w:tc>
          <w:tcPr/>
          <w:p>
            <w:pPr>
              <w:pStyle w:val="Compact"/>
            </w:pPr>
            <w:r>
              <w:t xml:space="preserve">(Bundled with D2 A/B test)</w:t>
            </w:r>
          </w:p>
        </w:tc>
        <w:tc>
          <w:tcPr/>
          <w:p>
            <w:pPr>
              <w:pStyle w:val="Compact"/>
              <w:jc w:val="right"/>
            </w:pPr>
            <w:r>
              <w:t xml:space="preserve">90</w:t>
            </w:r>
          </w:p>
        </w:tc>
        <w:tc>
          <w:tcPr/>
          <w:p>
            <w:pPr>
              <w:pStyle w:val="Compact"/>
              <w:jc w:val="right"/>
            </w:pPr>
            <w:r>
              <w:t xml:space="preserve">-120</w:t>
            </w:r>
          </w:p>
        </w:tc>
        <w:tc>
          <w:tcPr/>
          <w:p>
            <w:pPr>
              <w:pStyle w:val="Compact"/>
              <w:jc w:val="right"/>
            </w:pPr>
            <w:r>
              <w:t xml:space="preserve">(shared w/ D2)</w:t>
            </w:r>
          </w:p>
        </w:tc>
      </w:tr>
      <w:tr>
        <w:tc>
          <w:tcPr/>
          <w:p>
            <w:pPr>
              <w:pStyle w:val="Compact"/>
              <w:jc w:val="right"/>
            </w:pPr>
            <w:r>
              <w:t xml:space="preserve">15</w:t>
            </w:r>
          </w:p>
        </w:tc>
        <w:tc>
          <w:tcPr/>
          <w:p>
            <w:pPr>
              <w:pStyle w:val="Compact"/>
            </w:pPr>
            <w:r>
              <w:t xml:space="preserve">C10</w:t>
            </w:r>
          </w:p>
        </w:tc>
        <w:tc>
          <w:tcPr/>
          <w:p>
            <w:pPr>
              <w:pStyle w:val="Compact"/>
            </w:pPr>
            <w:r>
              <w:t xml:space="preserve">Documentation drift</w:t>
            </w:r>
          </w:p>
        </w:tc>
        <w:tc>
          <w:tcPr/>
          <w:p>
            <w:pPr>
              <w:pStyle w:val="Compact"/>
              <w:jc w:val="right"/>
            </w:pPr>
            <w:r>
              <w:t xml:space="preserve">200</w:t>
            </w:r>
          </w:p>
        </w:tc>
        <w:tc>
          <w:tcPr/>
          <w:p>
            <w:pPr>
              <w:pStyle w:val="Compact"/>
            </w:pPr>
            <w:r>
              <w:t xml:space="preserve">Build automated docs-vs-code consistency checker</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$30</w:t>
            </w:r>
          </w:p>
        </w:tc>
      </w:tr>
      <w:tr>
        <w:tc>
          <w:tcPr/>
          <w:p>
            <w:pPr>
              <w:pStyle w:val="Compact"/>
              <w:jc w:val="right"/>
            </w:pPr>
            <w:r>
              <w:t xml:space="preserve">16</w:t>
            </w:r>
          </w:p>
        </w:tc>
        <w:tc>
          <w:tcPr/>
          <w:p>
            <w:pPr>
              <w:pStyle w:val="Compact"/>
            </w:pPr>
            <w:r>
              <w:t xml:space="preserve">E4</w:t>
            </w:r>
          </w:p>
        </w:tc>
        <w:tc>
          <w:tcPr/>
          <w:p>
            <w:pPr>
              <w:pStyle w:val="Compact"/>
            </w:pPr>
            <w:r>
              <w:t xml:space="preserve">Manic-episode accusation lands</w:t>
            </w:r>
          </w:p>
        </w:tc>
        <w:tc>
          <w:tcPr/>
          <w:p>
            <w:pPr>
              <w:pStyle w:val="Compact"/>
              <w:jc w:val="right"/>
            </w:pPr>
            <w:r>
              <w:t xml:space="preserve">200</w:t>
            </w:r>
          </w:p>
        </w:tc>
        <w:tc>
          <w:tcPr/>
          <w:p>
            <w:pPr>
              <w:pStyle w:val="Compact"/>
            </w:pPr>
            <w:r>
              <w:t xml:space="preserve">NOT DEVIN-DEPLOYABLE</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17</w:t>
            </w:r>
          </w:p>
        </w:tc>
        <w:tc>
          <w:tcPr/>
          <w:p>
            <w:pPr>
              <w:pStyle w:val="Compact"/>
            </w:pPr>
            <w:r>
              <w:t xml:space="preserve">E5</w:t>
            </w:r>
          </w:p>
        </w:tc>
        <w:tc>
          <w:tcPr/>
          <w:p>
            <w:pPr>
              <w:pStyle w:val="Compact"/>
            </w:pPr>
            <w:r>
              <w:t xml:space="preserve">Regrettable public statement</w:t>
            </w:r>
          </w:p>
        </w:tc>
        <w:tc>
          <w:tcPr/>
          <w:p>
            <w:pPr>
              <w:pStyle w:val="Compact"/>
              <w:jc w:val="right"/>
            </w:pPr>
            <w:r>
              <w:t xml:space="preserve">200</w:t>
            </w:r>
          </w:p>
        </w:tc>
        <w:tc>
          <w:tcPr/>
          <w:p>
            <w:pPr>
              <w:pStyle w:val="Compact"/>
            </w:pPr>
            <w:r>
              <w:t xml:space="preserve">NOT DEVIN-DEPLOYABLE — sleep + overnight-Calm-coverage</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18</w:t>
            </w:r>
          </w:p>
        </w:tc>
        <w:tc>
          <w:tcPr/>
          <w:p>
            <w:pPr>
              <w:pStyle w:val="Compact"/>
            </w:pPr>
            <w:r>
              <w:t xml:space="preserve">G1</w:t>
            </w:r>
          </w:p>
        </w:tc>
        <w:tc>
          <w:tcPr/>
          <w:p>
            <w:pPr>
              <w:pStyle w:val="Compact"/>
            </w:pPr>
            <w:r>
              <w:t xml:space="preserve">T-shirt revenue flops</w:t>
            </w:r>
          </w:p>
        </w:tc>
        <w:tc>
          <w:tcPr/>
          <w:p>
            <w:pPr>
              <w:pStyle w:val="Compact"/>
              <w:jc w:val="right"/>
            </w:pPr>
            <w:r>
              <w:t xml:space="preserve">200</w:t>
            </w:r>
          </w:p>
        </w:tc>
        <w:tc>
          <w:tcPr/>
          <w:p>
            <w:pPr>
              <w:pStyle w:val="Compact"/>
            </w:pPr>
            <w:r>
              <w:t xml:space="preserve">(Bundled with G2 — Money Python pre-order)</w:t>
            </w:r>
          </w:p>
        </w:tc>
        <w:tc>
          <w:tcPr/>
          <w:p>
            <w:pPr>
              <w:pStyle w:val="Compact"/>
              <w:jc w:val="right"/>
            </w:pPr>
            <w:r>
              <w:t xml:space="preserve">120</w:t>
            </w:r>
          </w:p>
        </w:tc>
        <w:tc>
          <w:tcPr/>
          <w:p>
            <w:pPr>
              <w:pStyle w:val="Compact"/>
              <w:jc w:val="right"/>
            </w:pPr>
            <w:r>
              <w:t xml:space="preserve">-80</w:t>
            </w:r>
          </w:p>
        </w:tc>
        <w:tc>
          <w:tcPr/>
          <w:p>
            <w:pPr>
              <w:pStyle w:val="Compact"/>
              <w:jc w:val="right"/>
            </w:pPr>
            <w:r>
              <w:t xml:space="preserve">(shared w/ G2)</w:t>
            </w:r>
          </w:p>
        </w:tc>
      </w:tr>
      <w:tr>
        <w:tc>
          <w:tcPr/>
          <w:p>
            <w:pPr>
              <w:pStyle w:val="Compact"/>
              <w:jc w:val="right"/>
            </w:pPr>
            <w:r>
              <w:t xml:space="preserve">19</w:t>
            </w:r>
          </w:p>
        </w:tc>
        <w:tc>
          <w:tcPr/>
          <w:p>
            <w:pPr>
              <w:pStyle w:val="Compact"/>
            </w:pPr>
            <w:r>
              <w:t xml:space="preserve">G7</w:t>
            </w:r>
          </w:p>
        </w:tc>
        <w:tc>
          <w:tcPr/>
          <w:p>
            <w:pPr>
              <w:pStyle w:val="Compact"/>
            </w:pPr>
            <w:r>
              <w:t xml:space="preserve">AAO tax obligations unclear</w:t>
            </w:r>
          </w:p>
        </w:tc>
        <w:tc>
          <w:tcPr/>
          <w:p>
            <w:pPr>
              <w:pStyle w:val="Compact"/>
              <w:jc w:val="right"/>
            </w:pPr>
            <w:r>
              <w:t xml:space="preserve">200</w:t>
            </w:r>
          </w:p>
        </w:tc>
        <w:tc>
          <w:tcPr/>
          <w:p>
            <w:pPr>
              <w:pStyle w:val="Compact"/>
            </w:pPr>
            <w:r>
              <w:t xml:space="preserve">Draft tax research brief on AAO entity structure</w:t>
            </w:r>
          </w:p>
        </w:tc>
        <w:tc>
          <w:tcPr/>
          <w:p>
            <w:pPr>
              <w:pStyle w:val="Compact"/>
              <w:jc w:val="right"/>
            </w:pPr>
            <w:r>
              <w:t xml:space="preserve">140</w:t>
            </w:r>
          </w:p>
        </w:tc>
        <w:tc>
          <w:tcPr/>
          <w:p>
            <w:pPr>
              <w:pStyle w:val="Compact"/>
              <w:jc w:val="right"/>
            </w:pPr>
            <w:r>
              <w:t xml:space="preserve">-60</w:t>
            </w:r>
          </w:p>
        </w:tc>
        <w:tc>
          <w:tcPr/>
          <w:p>
            <w:pPr>
              <w:pStyle w:val="Compact"/>
              <w:jc w:val="right"/>
            </w:pPr>
            <w:r>
              <w:t xml:space="preserve">$30</w:t>
            </w:r>
          </w:p>
        </w:tc>
      </w:tr>
      <w:tr>
        <w:tc>
          <w:tcPr/>
          <w:p>
            <w:pPr>
              <w:pStyle w:val="Compact"/>
              <w:jc w:val="right"/>
            </w:pPr>
            <w:r>
              <w:t xml:space="preserve">20</w:t>
            </w:r>
          </w:p>
        </w:tc>
        <w:tc>
          <w:tcPr/>
          <w:p>
            <w:pPr>
              <w:pStyle w:val="Compact"/>
            </w:pPr>
            <w:r>
              <w:t xml:space="preserve">I2</w:t>
            </w:r>
          </w:p>
        </w:tc>
        <w:tc>
          <w:tcPr/>
          <w:p>
            <w:pPr>
              <w:pStyle w:val="Compact"/>
            </w:pPr>
            <w:r>
              <w:t xml:space="preserve">Perceived as solo show</w:t>
            </w:r>
          </w:p>
        </w:tc>
        <w:tc>
          <w:tcPr/>
          <w:p>
            <w:pPr>
              <w:pStyle w:val="Compact"/>
              <w:jc w:val="right"/>
            </w:pPr>
            <w:r>
              <w:t xml:space="preserve">200</w:t>
            </w:r>
          </w:p>
        </w:tc>
        <w:tc>
          <w:tcPr/>
          <w:p>
            <w:pPr>
              <w:pStyle w:val="Compact"/>
            </w:pPr>
            <w:r>
              <w:t xml:space="preserve">Build external-contributor onboarding + seat-#008 invitation drafts</w:t>
            </w:r>
          </w:p>
        </w:tc>
        <w:tc>
          <w:tcPr/>
          <w:p>
            <w:pPr>
              <w:pStyle w:val="Compact"/>
              <w:jc w:val="right"/>
            </w:pPr>
            <w:r>
              <w:t xml:space="preserve">140</w:t>
            </w:r>
          </w:p>
        </w:tc>
        <w:tc>
          <w:tcPr/>
          <w:p>
            <w:pPr>
              <w:pStyle w:val="Compact"/>
              <w:jc w:val="right"/>
            </w:pPr>
            <w:r>
              <w:t xml:space="preserve">-60</w:t>
            </w:r>
          </w:p>
        </w:tc>
        <w:tc>
          <w:tcPr/>
          <w:p>
            <w:pPr>
              <w:pStyle w:val="Compact"/>
              <w:jc w:val="right"/>
            </w:pPr>
            <w:r>
              <w:t xml:space="preserve">(shared w/ I1)</w:t>
            </w:r>
          </w:p>
        </w:tc>
      </w:tr>
    </w:tbl>
    <w:p>
      <w:r>
        <w:pict>
          <v:rect style="width:0;height:1.5pt" o:hralign="center" o:hrstd="t" o:hr="t"/>
        </w:pict>
      </w:r>
    </w:p>
    <w:bookmarkEnd w:id="12"/>
    <w:bookmarkStart w:id="13" w:name="ranked-by-per-dollar-return"/>
    <w:p>
      <w:pPr>
        <w:pStyle w:val="Heading2"/>
      </w:pPr>
      <w:r>
        <w:t xml:space="preserve">Ranked by per-dollar return</w:t>
      </w:r>
    </w:p>
    <w:p>
      <w:pPr>
        <w:pStyle w:val="FirstParagraph"/>
      </w:pPr>
      <w:r>
        <w:t xml:space="preserve">For each candidate Devin task, what is the</w:t>
      </w:r>
      <w:r>
        <w:t xml:space="preserve"> </w:t>
      </w:r>
      <w:r>
        <w:rPr>
          <w:b/>
          <w:bCs/>
        </w:rPr>
        <w:t xml:space="preserve">severity-points-reduced per dollar of Devin spend</w:t>
      </w:r>
      <w:r>
        <w:t xml:space="preserve">?</w:t>
      </w:r>
    </w:p>
    <w:tbl>
      <w:tblPr>
        <w:tblStyle w:val="Table"/>
        <w:tblW w:type="pct" w:w="5000"/>
        <w:tblLayout w:type="fixed"/>
        <w:tblLook w:firstRow="1" w:lastRow="0" w:firstColumn="0" w:lastColumn="0" w:noHBand="0" w:noVBand="0" w:val="0020"/>
      </w:tblPr>
      <w:tblGrid>
        <w:gridCol w:w="1440"/>
        <w:gridCol w:w="1080"/>
        <w:gridCol w:w="1080"/>
        <w:gridCol w:w="1440"/>
        <w:gridCol w:w="1440"/>
        <w:gridCol w:w="1440"/>
      </w:tblGrid>
      <w:tr>
        <w:trPr>
          <w:tblHeader w:val="on"/>
        </w:trPr>
        <w:tc>
          <w:tcPr/>
          <w:p>
            <w:pPr>
              <w:pStyle w:val="Compact"/>
              <w:jc w:val="right"/>
            </w:pPr>
            <w:r>
              <w:t xml:space="preserve">Rank</w:t>
            </w:r>
          </w:p>
        </w:tc>
        <w:tc>
          <w:tcPr/>
          <w:p>
            <w:pPr>
              <w:pStyle w:val="Compact"/>
            </w:pPr>
            <w:r>
              <w:t xml:space="preserve">Task</w:t>
            </w:r>
          </w:p>
        </w:tc>
        <w:tc>
          <w:tcPr/>
          <w:p>
            <w:pPr>
              <w:pStyle w:val="Compact"/>
            </w:pPr>
            <w:r>
              <w:t xml:space="preserve">Mitigates</w:t>
            </w:r>
          </w:p>
        </w:tc>
        <w:tc>
          <w:tcPr/>
          <w:p>
            <w:pPr>
              <w:pStyle w:val="Compact"/>
              <w:jc w:val="right"/>
            </w:pPr>
            <w:r>
              <w:t xml:space="preserve">Δ severity</w:t>
            </w:r>
          </w:p>
        </w:tc>
        <w:tc>
          <w:tcPr/>
          <w:p>
            <w:pPr>
              <w:pStyle w:val="Compact"/>
              <w:jc w:val="right"/>
            </w:pPr>
            <w:r>
              <w:t xml:space="preserve">Cost</w:t>
            </w:r>
          </w:p>
        </w:tc>
        <w:tc>
          <w:tcPr/>
          <w:p>
            <w:pPr>
              <w:pStyle w:val="Compact"/>
              <w:jc w:val="right"/>
            </w:pPr>
            <w:r>
              <w:t xml:space="preserve">Per-$ ROI</w:t>
            </w:r>
          </w:p>
        </w:tc>
      </w:tr>
      <w:tr>
        <w:tc>
          <w:tcPr/>
          <w:p>
            <w:pPr>
              <w:pStyle w:val="Compact"/>
              <w:jc w:val="right"/>
            </w:pPr>
            <w:r>
              <w:t xml:space="preserve">1</w:t>
            </w:r>
          </w:p>
        </w:tc>
        <w:tc>
          <w:tcPr/>
          <w:p>
            <w:pPr>
              <w:pStyle w:val="Compact"/>
            </w:pPr>
            <w:r>
              <w:rPr>
                <w:b/>
                <w:bCs/>
              </w:rPr>
              <w:t xml:space="preserve">Docs-vs-code consistency checker</w:t>
            </w:r>
          </w:p>
        </w:tc>
        <w:tc>
          <w:tcPr/>
          <w:p>
            <w:pPr>
              <w:pStyle w:val="Compact"/>
            </w:pPr>
            <w:r>
              <w:t xml:space="preserve">C10</w:t>
            </w:r>
          </w:p>
        </w:tc>
        <w:tc>
          <w:tcPr/>
          <w:p>
            <w:pPr>
              <w:pStyle w:val="Compact"/>
              <w:jc w:val="right"/>
            </w:pPr>
            <w:r>
              <w:t xml:space="preserve">150</w:t>
            </w:r>
          </w:p>
        </w:tc>
        <w:tc>
          <w:tcPr/>
          <w:p>
            <w:pPr>
              <w:pStyle w:val="Compact"/>
              <w:jc w:val="right"/>
            </w:pPr>
            <w:r>
              <w:t xml:space="preserve">$30</w:t>
            </w:r>
          </w:p>
        </w:tc>
        <w:tc>
          <w:tcPr/>
          <w:p>
            <w:pPr>
              <w:pStyle w:val="Compact"/>
              <w:jc w:val="right"/>
            </w:pPr>
            <w:r>
              <w:rPr>
                <w:b/>
                <w:bCs/>
              </w:rPr>
              <w:t xml:space="preserve">5.00</w:t>
            </w:r>
          </w:p>
        </w:tc>
      </w:tr>
      <w:tr>
        <w:tc>
          <w:tcPr/>
          <w:p>
            <w:pPr>
              <w:pStyle w:val="Compact"/>
              <w:jc w:val="right"/>
            </w:pPr>
            <w:r>
              <w:t xml:space="preserve">2</w:t>
            </w:r>
          </w:p>
        </w:tc>
        <w:tc>
          <w:tcPr/>
          <w:p>
            <w:pPr>
              <w:pStyle w:val="Compact"/>
            </w:pPr>
            <w:r>
              <w:rPr>
                <w:b/>
                <w:bCs/>
              </w:rPr>
              <w:t xml:space="preserve">Money Python pre-order page</w:t>
            </w:r>
          </w:p>
        </w:tc>
        <w:tc>
          <w:tcPr/>
          <w:p>
            <w:pPr>
              <w:pStyle w:val="Compact"/>
            </w:pPr>
            <w:r>
              <w:t xml:space="preserve">G1+G2+E2</w:t>
            </w:r>
          </w:p>
        </w:tc>
        <w:tc>
          <w:tcPr/>
          <w:p>
            <w:pPr>
              <w:pStyle w:val="Compact"/>
              <w:jc w:val="right"/>
            </w:pPr>
            <w:r>
              <w:t xml:space="preserve">170+40=210</w:t>
            </w:r>
          </w:p>
        </w:tc>
        <w:tc>
          <w:tcPr/>
          <w:p>
            <w:pPr>
              <w:pStyle w:val="Compact"/>
              <w:jc w:val="right"/>
            </w:pPr>
            <w:r>
              <w:t xml:space="preserve">$40</w:t>
            </w:r>
          </w:p>
        </w:tc>
        <w:tc>
          <w:tcPr/>
          <w:p>
            <w:pPr>
              <w:pStyle w:val="Compact"/>
              <w:jc w:val="right"/>
            </w:pPr>
            <w:r>
              <w:rPr>
                <w:b/>
                <w:bCs/>
              </w:rPr>
              <w:t xml:space="preserve">5.25</w:t>
            </w:r>
          </w:p>
        </w:tc>
      </w:tr>
      <w:tr>
        <w:tc>
          <w:tcPr/>
          <w:p>
            <w:pPr>
              <w:pStyle w:val="Compact"/>
              <w:jc w:val="right"/>
            </w:pPr>
            <w:r>
              <w:t xml:space="preserve">3</w:t>
            </w:r>
          </w:p>
        </w:tc>
        <w:tc>
          <w:tcPr/>
          <w:p>
            <w:pPr>
              <w:pStyle w:val="Compact"/>
            </w:pPr>
            <w:r>
              <w:rPr>
                <w:b/>
                <w:bCs/>
              </w:rPr>
              <w:t xml:space="preserve">AAO-Certified seat #008 packet + outreach drafts</w:t>
            </w:r>
          </w:p>
        </w:tc>
        <w:tc>
          <w:tcPr/>
          <w:p>
            <w:pPr>
              <w:pStyle w:val="Compact"/>
            </w:pPr>
            <w:r>
              <w:t xml:space="preserve">I1+I2</w:t>
            </w:r>
          </w:p>
        </w:tc>
        <w:tc>
          <w:tcPr/>
          <w:p>
            <w:pPr>
              <w:pStyle w:val="Compact"/>
              <w:jc w:val="right"/>
            </w:pPr>
            <w:r>
              <w:t xml:space="preserve">130+60=190</w:t>
            </w:r>
          </w:p>
        </w:tc>
        <w:tc>
          <w:tcPr/>
          <w:p>
            <w:pPr>
              <w:pStyle w:val="Compact"/>
              <w:jc w:val="right"/>
            </w:pPr>
            <w:r>
              <w:t xml:space="preserve">$40</w:t>
            </w:r>
          </w:p>
        </w:tc>
        <w:tc>
          <w:tcPr/>
          <w:p>
            <w:pPr>
              <w:pStyle w:val="Compact"/>
              <w:jc w:val="right"/>
            </w:pPr>
            <w:r>
              <w:rPr>
                <w:b/>
                <w:bCs/>
              </w:rPr>
              <w:t xml:space="preserve">4.75</w:t>
            </w:r>
          </w:p>
        </w:tc>
      </w:tr>
      <w:tr>
        <w:tc>
          <w:tcPr/>
          <w:p>
            <w:pPr>
              <w:pStyle w:val="Compact"/>
              <w:jc w:val="right"/>
            </w:pPr>
            <w:r>
              <w:t xml:space="preserve">4</w:t>
            </w:r>
          </w:p>
        </w:tc>
        <w:tc>
          <w:tcPr/>
          <w:p>
            <w:pPr>
              <w:pStyle w:val="Compact"/>
            </w:pPr>
            <w:r>
              <w:rPr>
                <w:b/>
                <w:bCs/>
              </w:rPr>
              <w:t xml:space="preserve">A/B test execution (with-and-without)</w:t>
            </w:r>
          </w:p>
        </w:tc>
        <w:tc>
          <w:tcPr/>
          <w:p>
            <w:pPr>
              <w:pStyle w:val="Compact"/>
            </w:pPr>
            <w:r>
              <w:t xml:space="preserve">D2+D3</w:t>
            </w:r>
          </w:p>
        </w:tc>
        <w:tc>
          <w:tcPr/>
          <w:p>
            <w:pPr>
              <w:pStyle w:val="Compact"/>
              <w:jc w:val="right"/>
            </w:pPr>
            <w:r>
              <w:t xml:space="preserve">180+120=300</w:t>
            </w:r>
          </w:p>
        </w:tc>
        <w:tc>
          <w:tcPr/>
          <w:p>
            <w:pPr>
              <w:pStyle w:val="Compact"/>
              <w:jc w:val="right"/>
            </w:pPr>
            <w:r>
              <w:t xml:space="preserve">$80</w:t>
            </w:r>
          </w:p>
        </w:tc>
        <w:tc>
          <w:tcPr/>
          <w:p>
            <w:pPr>
              <w:pStyle w:val="Compact"/>
              <w:jc w:val="right"/>
            </w:pPr>
            <w:r>
              <w:rPr>
                <w:b/>
                <w:bCs/>
              </w:rPr>
              <w:t xml:space="preserve">3.75</w:t>
            </w:r>
          </w:p>
        </w:tc>
      </w:tr>
      <w:tr>
        <w:tc>
          <w:tcPr/>
          <w:p>
            <w:pPr>
              <w:pStyle w:val="Compact"/>
              <w:jc w:val="right"/>
            </w:pPr>
            <w:r>
              <w:t xml:space="preserve">5</w:t>
            </w:r>
          </w:p>
        </w:tc>
        <w:tc>
          <w:tcPr/>
          <w:p>
            <w:pPr>
              <w:pStyle w:val="Compact"/>
            </w:pPr>
            <w:r>
              <w:rPr>
                <w:b/>
                <w:bCs/>
              </w:rPr>
              <w:t xml:space="preserve">IACR ePrint paper draft</w:t>
            </w:r>
          </w:p>
        </w:tc>
        <w:tc>
          <w:tcPr/>
          <w:p>
            <w:pPr>
              <w:pStyle w:val="Compact"/>
            </w:pPr>
            <w:r>
              <w:t xml:space="preserve">I5</w:t>
            </w:r>
          </w:p>
        </w:tc>
        <w:tc>
          <w:tcPr/>
          <w:p>
            <w:pPr>
              <w:pStyle w:val="Compact"/>
              <w:jc w:val="right"/>
            </w:pPr>
            <w:r>
              <w:t xml:space="preserve">90</w:t>
            </w:r>
          </w:p>
        </w:tc>
        <w:tc>
          <w:tcPr/>
          <w:p>
            <w:pPr>
              <w:pStyle w:val="Compact"/>
              <w:jc w:val="right"/>
            </w:pPr>
            <w:r>
              <w:t xml:space="preserve">$30</w:t>
            </w:r>
          </w:p>
        </w:tc>
        <w:tc>
          <w:tcPr/>
          <w:p>
            <w:pPr>
              <w:pStyle w:val="Compact"/>
              <w:jc w:val="right"/>
            </w:pPr>
            <w:r>
              <w:rPr>
                <w:b/>
                <w:bCs/>
              </w:rPr>
              <w:t xml:space="preserve">3.00</w:t>
            </w:r>
          </w:p>
        </w:tc>
      </w:tr>
      <w:tr>
        <w:tc>
          <w:tcPr/>
          <w:p>
            <w:pPr>
              <w:pStyle w:val="Compact"/>
              <w:jc w:val="right"/>
            </w:pPr>
            <w:r>
              <w:t xml:space="preserve">6</w:t>
            </w:r>
          </w:p>
        </w:tc>
        <w:tc>
          <w:tcPr/>
          <w:p>
            <w:pPr>
              <w:pStyle w:val="Compact"/>
            </w:pPr>
            <w:r>
              <w:rPr>
                <w:b/>
                <w:bCs/>
              </w:rPr>
              <w:t xml:space="preserve">NIST AISI public comment</w:t>
            </w:r>
          </w:p>
        </w:tc>
        <w:tc>
          <w:tcPr/>
          <w:p>
            <w:pPr>
              <w:pStyle w:val="Compact"/>
            </w:pPr>
            <w:r>
              <w:t xml:space="preserve">F2</w:t>
            </w:r>
          </w:p>
        </w:tc>
        <w:tc>
          <w:tcPr/>
          <w:p>
            <w:pPr>
              <w:pStyle w:val="Compact"/>
              <w:jc w:val="right"/>
            </w:pPr>
            <w:r>
              <w:t xml:space="preserve">80</w:t>
            </w:r>
          </w:p>
        </w:tc>
        <w:tc>
          <w:tcPr/>
          <w:p>
            <w:pPr>
              <w:pStyle w:val="Compact"/>
              <w:jc w:val="right"/>
            </w:pPr>
            <w:r>
              <w:t xml:space="preserve">$30</w:t>
            </w:r>
          </w:p>
        </w:tc>
        <w:tc>
          <w:tcPr/>
          <w:p>
            <w:pPr>
              <w:pStyle w:val="Compact"/>
              <w:jc w:val="right"/>
            </w:pPr>
            <w:r>
              <w:rPr>
                <w:b/>
                <w:bCs/>
              </w:rPr>
              <w:t xml:space="preserve">2.67</w:t>
            </w:r>
          </w:p>
        </w:tc>
      </w:tr>
      <w:tr>
        <w:tc>
          <w:tcPr/>
          <w:p>
            <w:pPr>
              <w:pStyle w:val="Compact"/>
              <w:jc w:val="right"/>
            </w:pPr>
            <w:r>
              <w:t xml:space="preserve">7</w:t>
            </w:r>
          </w:p>
        </w:tc>
        <w:tc>
          <w:tcPr/>
          <w:p>
            <w:pPr>
              <w:pStyle w:val="Compact"/>
            </w:pPr>
            <w:r>
              <w:rPr>
                <w:b/>
                <w:bCs/>
              </w:rPr>
              <w:t xml:space="preserve">AAO tax research brief</w:t>
            </w:r>
          </w:p>
        </w:tc>
        <w:tc>
          <w:tcPr/>
          <w:p>
            <w:pPr>
              <w:pStyle w:val="Compact"/>
            </w:pPr>
            <w:r>
              <w:t xml:space="preserve">G7</w:t>
            </w:r>
          </w:p>
        </w:tc>
        <w:tc>
          <w:tcPr/>
          <w:p>
            <w:pPr>
              <w:pStyle w:val="Compact"/>
              <w:jc w:val="right"/>
            </w:pPr>
            <w:r>
              <w:t xml:space="preserve">60</w:t>
            </w:r>
          </w:p>
        </w:tc>
        <w:tc>
          <w:tcPr/>
          <w:p>
            <w:pPr>
              <w:pStyle w:val="Compact"/>
              <w:jc w:val="right"/>
            </w:pPr>
            <w:r>
              <w:t xml:space="preserve">$30</w:t>
            </w:r>
          </w:p>
        </w:tc>
        <w:tc>
          <w:tcPr/>
          <w:p>
            <w:pPr>
              <w:pStyle w:val="Compact"/>
              <w:jc w:val="right"/>
            </w:pPr>
            <w:r>
              <w:rPr>
                <w:b/>
                <w:bCs/>
              </w:rPr>
              <w:t xml:space="preserve">2.00</w:t>
            </w:r>
          </w:p>
        </w:tc>
      </w:tr>
      <w:tr>
        <w:tc>
          <w:tcPr/>
          <w:p>
            <w:pPr>
              <w:pStyle w:val="Compact"/>
              <w:jc w:val="right"/>
            </w:pPr>
            <w:r>
              <w:t xml:space="preserve">8</w:t>
            </w:r>
          </w:p>
        </w:tc>
        <w:tc>
          <w:tcPr/>
          <w:p>
            <w:pPr>
              <w:pStyle w:val="Compact"/>
            </w:pPr>
            <w:r>
              <w:rPr>
                <w:b/>
                <w:bCs/>
              </w:rPr>
              <w:t xml:space="preserve">Congressional staffer outreach (Compute Surge)</w:t>
            </w:r>
          </w:p>
        </w:tc>
        <w:tc>
          <w:tcPr/>
          <w:p>
            <w:pPr>
              <w:pStyle w:val="Compact"/>
            </w:pPr>
            <w:r>
              <w:t xml:space="preserve">D9</w:t>
            </w:r>
          </w:p>
        </w:tc>
        <w:tc>
          <w:tcPr/>
          <w:p>
            <w:pPr>
              <w:pStyle w:val="Compact"/>
              <w:jc w:val="right"/>
            </w:pPr>
            <w:r>
              <w:t xml:space="preserve">70</w:t>
            </w:r>
          </w:p>
        </w:tc>
        <w:tc>
          <w:tcPr/>
          <w:p>
            <w:pPr>
              <w:pStyle w:val="Compact"/>
              <w:jc w:val="right"/>
            </w:pPr>
            <w:r>
              <w:t xml:space="preserve">$40</w:t>
            </w:r>
          </w:p>
        </w:tc>
        <w:tc>
          <w:tcPr/>
          <w:p>
            <w:pPr>
              <w:pStyle w:val="Compact"/>
              <w:jc w:val="right"/>
            </w:pPr>
            <w:r>
              <w:rPr>
                <w:b/>
                <w:bCs/>
              </w:rPr>
              <w:t xml:space="preserve">1.75</w:t>
            </w:r>
          </w:p>
        </w:tc>
      </w:tr>
      <w:tr>
        <w:tc>
          <w:tcPr/>
          <w:p>
            <w:pPr>
              <w:pStyle w:val="Compact"/>
              <w:jc w:val="right"/>
            </w:pPr>
            <w:r>
              <w:t xml:space="preserve">9</w:t>
            </w:r>
          </w:p>
        </w:tc>
        <w:tc>
          <w:tcPr/>
          <w:p>
            <w:pPr>
              <w:pStyle w:val="Compact"/>
            </w:pPr>
            <w:r>
              <w:rPr>
                <w:b/>
                <w:bCs/>
              </w:rPr>
              <w:t xml:space="preserve">IRS revenue ruling request</w:t>
            </w:r>
          </w:p>
        </w:tc>
        <w:tc>
          <w:tcPr/>
          <w:p>
            <w:pPr>
              <w:pStyle w:val="Compact"/>
            </w:pPr>
            <w:r>
              <w:t xml:space="preserve">D7</w:t>
            </w:r>
          </w:p>
        </w:tc>
        <w:tc>
          <w:tcPr/>
          <w:p>
            <w:pPr>
              <w:pStyle w:val="Compact"/>
              <w:jc w:val="right"/>
            </w:pPr>
            <w:r>
              <w:t xml:space="preserve">40</w:t>
            </w:r>
          </w:p>
        </w:tc>
        <w:tc>
          <w:tcPr/>
          <w:p>
            <w:pPr>
              <w:pStyle w:val="Compact"/>
              <w:jc w:val="right"/>
            </w:pPr>
            <w:r>
              <w:t xml:space="preserve">$30</w:t>
            </w:r>
          </w:p>
        </w:tc>
        <w:tc>
          <w:tcPr/>
          <w:p>
            <w:pPr>
              <w:pStyle w:val="Compact"/>
              <w:jc w:val="right"/>
            </w:pPr>
            <w:r>
              <w:rPr>
                <w:b/>
                <w:bCs/>
              </w:rPr>
              <w:t xml:space="preserve">1.33</w:t>
            </w:r>
          </w:p>
        </w:tc>
      </w:tr>
      <w:tr>
        <w:tc>
          <w:tcPr/>
          <w:p>
            <w:pPr>
              <w:pStyle w:val="Compact"/>
              <w:jc w:val="right"/>
            </w:pPr>
            <w:r>
              <w:t xml:space="preserve">10</w:t>
            </w:r>
          </w:p>
        </w:tc>
        <w:tc>
          <w:tcPr/>
          <w:p>
            <w:pPr>
              <w:pStyle w:val="Compact"/>
            </w:pPr>
            <w:r>
              <w:rPr>
                <w:b/>
                <w:bCs/>
              </w:rPr>
              <w:t xml:space="preserve">Substrate-independent positioning</w:t>
            </w:r>
          </w:p>
        </w:tc>
        <w:tc>
          <w:tcPr/>
          <w:p>
            <w:pPr>
              <w:pStyle w:val="Compact"/>
            </w:pPr>
            <w:r>
              <w:t xml:space="preserve">J6</w:t>
            </w:r>
          </w:p>
        </w:tc>
        <w:tc>
          <w:tcPr/>
          <w:p>
            <w:pPr>
              <w:pStyle w:val="Compact"/>
              <w:jc w:val="right"/>
            </w:pPr>
            <w:r>
              <w:t xml:space="preserve">40</w:t>
            </w:r>
          </w:p>
        </w:tc>
        <w:tc>
          <w:tcPr/>
          <w:p>
            <w:pPr>
              <w:pStyle w:val="Compact"/>
              <w:jc w:val="right"/>
            </w:pPr>
            <w:r>
              <w:t xml:space="preserve">$30</w:t>
            </w:r>
          </w:p>
        </w:tc>
        <w:tc>
          <w:tcPr/>
          <w:p>
            <w:pPr>
              <w:pStyle w:val="Compact"/>
              <w:jc w:val="right"/>
            </w:pPr>
            <w:r>
              <w:rPr>
                <w:b/>
                <w:bCs/>
              </w:rPr>
              <w:t xml:space="preserve">1.33</w:t>
            </w:r>
          </w:p>
        </w:tc>
      </w:tr>
    </w:tbl>
    <w:p>
      <w:r>
        <w:pict>
          <v:rect style="width:0;height:1.5pt" o:hralign="center" o:hrstd="t" o:hr="t"/>
        </w:pict>
      </w:r>
    </w:p>
    <w:bookmarkEnd w:id="13"/>
    <w:bookmarkStart w:id="14" w:name="Xdb709d5ae4f18c8f771b5b3a2aff3bd9386cbc1"/>
    <w:p>
      <w:pPr>
        <w:pStyle w:val="Heading2"/>
      </w:pPr>
      <w:r>
        <w:t xml:space="preserve">Recommended slate within $140 Devin budget</w:t>
      </w:r>
    </w:p>
    <w:p>
      <w:pPr>
        <w:pStyle w:val="FirstParagraph"/>
      </w:pPr>
      <w:r>
        <w:t xml:space="preserve">The high-ROI top of the slate fits comfortably within the remaining Devin budget. Recommended deployment, in execution order:</w:t>
      </w:r>
    </w:p>
    <w:tbl>
      <w:tblPr>
        <w:tblStyle w:val="Table"/>
        <w:tblW w:type="pct" w:w="5000"/>
        <w:tblLayout w:type="fixed"/>
        <w:tblLook w:firstRow="1" w:lastRow="0" w:firstColumn="0" w:lastColumn="0" w:noHBand="0" w:noVBand="0" w:val="0020"/>
      </w:tblPr>
      <w:tblGrid>
        <w:gridCol w:w="1760"/>
        <w:gridCol w:w="1320"/>
        <w:gridCol w:w="1760"/>
        <w:gridCol w:w="1760"/>
        <w:gridCol w:w="1320"/>
      </w:tblGrid>
      <w:tr>
        <w:trPr>
          <w:tblHeader w:val="on"/>
        </w:trPr>
        <w:tc>
          <w:tcPr/>
          <w:p>
            <w:pPr>
              <w:pStyle w:val="Compact"/>
              <w:jc w:val="right"/>
            </w:pPr>
            <w:r>
              <w:t xml:space="preserve">#</w:t>
            </w:r>
          </w:p>
        </w:tc>
        <w:tc>
          <w:tcPr/>
          <w:p>
            <w:pPr>
              <w:pStyle w:val="Compact"/>
            </w:pPr>
            <w:r>
              <w:t xml:space="preserve">Task</w:t>
            </w:r>
          </w:p>
        </w:tc>
        <w:tc>
          <w:tcPr/>
          <w:p>
            <w:pPr>
              <w:pStyle w:val="Compact"/>
              <w:jc w:val="right"/>
            </w:pPr>
            <w:r>
              <w:t xml:space="preserve">Cost</w:t>
            </w:r>
          </w:p>
        </w:tc>
        <w:tc>
          <w:tcPr/>
          <w:p>
            <w:pPr>
              <w:pStyle w:val="Compact"/>
              <w:jc w:val="right"/>
            </w:pPr>
            <w:r>
              <w:t xml:space="preserve">Δ Sev</w:t>
            </w:r>
          </w:p>
        </w:tc>
        <w:tc>
          <w:tcPr/>
          <w:p>
            <w:pPr>
              <w:pStyle w:val="Compact"/>
            </w:pPr>
            <w:r>
              <w:t xml:space="preserve">Why first</w:t>
            </w:r>
          </w:p>
        </w:tc>
      </w:tr>
      <w:tr>
        <w:tc>
          <w:tcPr/>
          <w:p>
            <w:pPr>
              <w:pStyle w:val="Compact"/>
              <w:jc w:val="right"/>
            </w:pPr>
            <w:r>
              <w:t xml:space="preserve">1</w:t>
            </w:r>
          </w:p>
        </w:tc>
        <w:tc>
          <w:tcPr/>
          <w:p>
            <w:pPr>
              <w:pStyle w:val="Compact"/>
            </w:pPr>
            <w:r>
              <w:rPr>
                <w:b/>
                <w:bCs/>
              </w:rPr>
              <w:t xml:space="preserve">Docs-vs-code consistency checker</w:t>
            </w:r>
          </w:p>
        </w:tc>
        <w:tc>
          <w:tcPr/>
          <w:p>
            <w:pPr>
              <w:pStyle w:val="Compact"/>
              <w:jc w:val="right"/>
            </w:pPr>
            <w:r>
              <w:t xml:space="preserve">$30</w:t>
            </w:r>
          </w:p>
        </w:tc>
        <w:tc>
          <w:tcPr/>
          <w:p>
            <w:pPr>
              <w:pStyle w:val="Compact"/>
              <w:jc w:val="right"/>
            </w:pPr>
            <w:r>
              <w:t xml:space="preserve">-150</w:t>
            </w:r>
          </w:p>
        </w:tc>
        <w:tc>
          <w:tcPr/>
          <w:p>
            <w:pPr>
              <w:pStyle w:val="Compact"/>
            </w:pPr>
            <w:r>
              <w:t xml:space="preserve">Engineering task; high probability of working; force-multiplier on future doctrine releases</w:t>
            </w:r>
          </w:p>
        </w:tc>
      </w:tr>
      <w:tr>
        <w:tc>
          <w:tcPr/>
          <w:p>
            <w:pPr>
              <w:pStyle w:val="Compact"/>
              <w:jc w:val="right"/>
            </w:pPr>
            <w:r>
              <w:t xml:space="preserve">2</w:t>
            </w:r>
          </w:p>
        </w:tc>
        <w:tc>
          <w:tcPr/>
          <w:p>
            <w:pPr>
              <w:pStyle w:val="Compact"/>
            </w:pPr>
            <w:r>
              <w:rPr>
                <w:b/>
                <w:bCs/>
              </w:rPr>
              <w:t xml:space="preserve">Money Python pre-order page</w:t>
            </w:r>
          </w:p>
        </w:tc>
        <w:tc>
          <w:tcPr/>
          <w:p>
            <w:pPr>
              <w:pStyle w:val="Compact"/>
              <w:jc w:val="right"/>
            </w:pPr>
            <w:r>
              <w:t xml:space="preserve">$40</w:t>
            </w:r>
          </w:p>
        </w:tc>
        <w:tc>
          <w:tcPr/>
          <w:p>
            <w:pPr>
              <w:pStyle w:val="Compact"/>
              <w:jc w:val="right"/>
            </w:pPr>
            <w:r>
              <w:t xml:space="preserve">-210</w:t>
            </w:r>
          </w:p>
        </w:tc>
        <w:tc>
          <w:tcPr/>
          <w:p>
            <w:pPr>
              <w:pStyle w:val="Compact"/>
            </w:pPr>
            <w:r>
              <w:t xml:space="preserve">Generates $-denominated traction signal within 48 hours; preempts G1/G2/E2 cluster</w:t>
            </w:r>
          </w:p>
        </w:tc>
      </w:tr>
      <w:tr>
        <w:tc>
          <w:tcPr/>
          <w:p>
            <w:pPr>
              <w:pStyle w:val="Compact"/>
              <w:jc w:val="right"/>
            </w:pPr>
            <w:r>
              <w:t xml:space="preserve">3</w:t>
            </w:r>
          </w:p>
        </w:tc>
        <w:tc>
          <w:tcPr/>
          <w:p>
            <w:pPr>
              <w:pStyle w:val="Compact"/>
            </w:pPr>
            <w:r>
              <w:rPr>
                <w:b/>
                <w:bCs/>
              </w:rPr>
              <w:t xml:space="preserve">AAO-Certified seat #008 packet + Karpathy/Tegmark invitation drafts</w:t>
            </w:r>
          </w:p>
        </w:tc>
        <w:tc>
          <w:tcPr/>
          <w:p>
            <w:pPr>
              <w:pStyle w:val="Compact"/>
              <w:jc w:val="right"/>
            </w:pPr>
            <w:r>
              <w:t xml:space="preserve">$40</w:t>
            </w:r>
          </w:p>
        </w:tc>
        <w:tc>
          <w:tcPr/>
          <w:p>
            <w:pPr>
              <w:pStyle w:val="Compact"/>
              <w:jc w:val="right"/>
            </w:pPr>
            <w:r>
              <w:t xml:space="preserve">-190</w:t>
            </w:r>
          </w:p>
        </w:tc>
        <w:tc>
          <w:tcPr/>
          <w:p>
            <w:pPr>
              <w:pStyle w:val="Compact"/>
            </w:pPr>
            <w:r>
              <w:t xml:space="preserve">Preempts I1 (second-highest severity); composes with RS-3 / DM-5 from CASE_T_STRATEGY</w:t>
            </w:r>
          </w:p>
        </w:tc>
      </w:tr>
      <w:tr>
        <w:tc>
          <w:tcPr/>
          <w:p>
            <w:pPr>
              <w:pStyle w:val="Compact"/>
              <w:jc w:val="right"/>
            </w:pPr>
            <w:r>
              <w:t xml:space="preserve">4</w:t>
            </w:r>
          </w:p>
        </w:tc>
        <w:tc>
          <w:tcPr/>
          <w:p>
            <w:pPr>
              <w:pStyle w:val="Compact"/>
            </w:pPr>
            <w:r>
              <w:rPr>
                <w:b/>
                <w:bCs/>
              </w:rPr>
              <w:t xml:space="preserve">IACR ePrint paper draft</w:t>
            </w:r>
          </w:p>
        </w:tc>
        <w:tc>
          <w:tcPr/>
          <w:p>
            <w:pPr>
              <w:pStyle w:val="Compact"/>
              <w:jc w:val="right"/>
            </w:pPr>
            <w:r>
              <w:t xml:space="preserve">$30</w:t>
            </w:r>
          </w:p>
        </w:tc>
        <w:tc>
          <w:tcPr/>
          <w:p>
            <w:pPr>
              <w:pStyle w:val="Compact"/>
              <w:jc w:val="right"/>
            </w:pPr>
            <w:r>
              <w:t xml:space="preserve">-90</w:t>
            </w:r>
          </w:p>
        </w:tc>
        <w:tc>
          <w:tcPr/>
          <w:p>
            <w:pPr>
              <w:pStyle w:val="Compact"/>
            </w:pPr>
            <w:r>
              <w:t xml:space="preserve">Force-multiplier on every subsequent cryptographer-community engagement</w:t>
            </w:r>
          </w:p>
        </w:tc>
      </w:tr>
      <w:tr>
        <w:tc>
          <w:tcPr/>
          <w:p>
            <w:pPr>
              <w:pStyle w:val="Compact"/>
              <w:jc w:val="right"/>
            </w:pPr>
            <w:r>
              <w:rPr>
                <w:b/>
                <w:bCs/>
              </w:rPr>
              <w:t xml:space="preserve">Total</w:t>
            </w:r>
          </w:p>
        </w:tc>
        <w:tc>
          <w:tcPr/>
          <w:p>
            <w:pPr>
              <w:pStyle w:val="Compact"/>
            </w:pPr>
          </w:p>
        </w:tc>
        <w:tc>
          <w:tcPr/>
          <w:p>
            <w:pPr>
              <w:pStyle w:val="Compact"/>
              <w:jc w:val="right"/>
            </w:pPr>
            <w:r>
              <w:rPr>
                <w:b/>
                <w:bCs/>
              </w:rPr>
              <w:t xml:space="preserve">$140</w:t>
            </w:r>
          </w:p>
        </w:tc>
        <w:tc>
          <w:tcPr/>
          <w:p>
            <w:pPr>
              <w:pStyle w:val="Compact"/>
              <w:jc w:val="right"/>
            </w:pPr>
            <w:r>
              <w:rPr>
                <w:b/>
                <w:bCs/>
              </w:rPr>
              <w:t xml:space="preserve">-640</w:t>
            </w:r>
          </w:p>
        </w:tc>
        <w:tc>
          <w:tcPr/>
          <w:p>
            <w:pPr>
              <w:pStyle w:val="Compact"/>
            </w:pPr>
            <w:r>
              <w:t xml:space="preserve">Within Devin budget; covers 4 of top 5 ROI tasks</w:t>
            </w:r>
          </w:p>
        </w:tc>
      </w:tr>
    </w:tbl>
    <w:p>
      <w:pPr>
        <w:pStyle w:val="BodyText"/>
      </w:pPr>
      <w:r>
        <w:rPr>
          <w:b/>
          <w:bCs/>
        </w:rPr>
        <w:t xml:space="preserve">Result: $140 Devin spend → 640 severity points reduced → 13.1% reduction in aggregate top-20 severity.</w:t>
      </w:r>
    </w:p>
    <w:p>
      <w:pPr>
        <w:pStyle w:val="BodyText"/>
      </w:pPr>
      <w:r>
        <w:t xml:space="preserve">The 5th task (A/B test at $80) is the single highest absolute reduction (-300 severity) but pushes the slate over budget. Recommendation: defer to next Devin batch after May 14 Elastic deposit clears, when budget envelope re-expands.</w:t>
      </w:r>
    </w:p>
    <w:p>
      <w:r>
        <w:pict>
          <v:rect style="width:0;height:1.5pt" o:hralign="center" o:hrstd="t" o:hr="t"/>
        </w:pict>
      </w:r>
    </w:p>
    <w:bookmarkEnd w:id="14"/>
    <w:bookmarkStart w:id="15" w:name="what-this-looks-like-as-a-business-case"/>
    <w:p>
      <w:pPr>
        <w:pStyle w:val="Heading2"/>
      </w:pPr>
      <w:r>
        <w:t xml:space="preserve">What this looks like as a business case</w:t>
      </w:r>
    </w:p>
    <w:p>
      <w:pPr>
        <w:pStyle w:val="FirstParagraph"/>
      </w:pPr>
      <w:r>
        <w:rPr>
          <w:b/>
          <w:bCs/>
        </w:rPr>
        <w:t xml:space="preserve">The before state.</w:t>
      </w:r>
      <w:r>
        <w:t xml:space="preserve"> </w:t>
      </w:r>
      <w:r>
        <w:t xml:space="preserve">Top-20 risk register sum: 4,870 severity points. Aggregate P(at least one J-tier failure mode) over 12 months: 35-45% (correlation-adjusted).</w:t>
      </w:r>
    </w:p>
    <w:p>
      <w:pPr>
        <w:pStyle w:val="BodyText"/>
      </w:pPr>
      <w:r>
        <w:rPr>
          <w:b/>
          <w:bCs/>
        </w:rPr>
        <w:t xml:space="preserve">The investment.</w:t>
      </w:r>
      <w:r>
        <w:t xml:space="preserve"> </w:t>
      </w:r>
      <w:r>
        <w:t xml:space="preserve">$140 in Devin compute. Approximately 12-16 ACU-hours across 4 tasks. Execution window: 36-48 hours.</w:t>
      </w:r>
    </w:p>
    <w:p>
      <w:pPr>
        <w:pStyle w:val="BodyText"/>
      </w:pPr>
      <w:r>
        <w:rPr>
          <w:b/>
          <w:bCs/>
        </w:rPr>
        <w:t xml:space="preserve">The after state.</w:t>
      </w:r>
      <w:r>
        <w:t xml:space="preserve"> </w:t>
      </w:r>
      <w:r>
        <w:t xml:space="preserve">Top-20 risk register sum: ~4,230 severity points (640-point reduction). Aggregate P(failure) approximately unchanged at 35-45% — but the underlying severity-distribution shifts substantively toward the lower-magnitude risks.</w:t>
      </w:r>
      <w:r>
        <w:t xml:space="preserve"> </w:t>
      </w:r>
      <w:r>
        <w:rPr>
          <w:b/>
          <w:bCs/>
        </w:rPr>
        <w:t xml:space="preserve">The catastrophic-tail moves first; the existential-tail does not.</w:t>
      </w:r>
    </w:p>
    <w:p>
      <w:pPr>
        <w:pStyle w:val="BodyText"/>
      </w:pPr>
      <w:r>
        <w:rPr>
          <w:b/>
          <w:bCs/>
        </w:rPr>
        <w:t xml:space="preserve">The compounding effect.</w:t>
      </w:r>
      <w:r>
        <w:t xml:space="preserve"> </w:t>
      </w:r>
      <w:r>
        <w:t xml:space="preserve">Three of the four tasks (docs-vs-code, seat-#008 packet, IACR ePrint) are</w:t>
      </w:r>
      <w:r>
        <w:t xml:space="preserve"> </w:t>
      </w:r>
      <w:r>
        <w:rPr>
          <w:i/>
          <w:iCs/>
        </w:rPr>
        <w:t xml:space="preserve">force-multipliers</w:t>
      </w:r>
      <w:r>
        <w:t xml:space="preserve"> </w:t>
      </w:r>
      <w:r>
        <w:t xml:space="preserve">on future work. The docs-vs-code checker prevents drift across every future doctrine commit. The seat-#008 packet drives the Karpathy/Tegmark invitation (RS-3) which has asymmetric upside (one acceptance flips dimension (c) of Case T). The IACR ePrint draft is the canonical citation handle for every subsequent press piece, policy submission, and cryptographer reply.</w:t>
      </w:r>
    </w:p>
    <w:p>
      <w:pPr>
        <w:pStyle w:val="BodyText"/>
      </w:pPr>
      <w:r>
        <w:rPr>
          <w:b/>
          <w:bCs/>
        </w:rPr>
        <w:t xml:space="preserve">Return profile.</w:t>
      </w:r>
      <w:r>
        <w:t xml:space="preserve"> </w:t>
      </w:r>
      <w:r>
        <w:t xml:space="preserve">At $140 spend with 13.1% severity reduction, the per-percentage-point cost is ~$11. Each percentage point of severity reduction corresponds to a corresponding probability shift on the launch-success composite. The implied Case T probability lift from this slate alone:</w:t>
      </w:r>
      <w:r>
        <w:t xml:space="preserve"> </w:t>
      </w:r>
      <w:r>
        <w:rPr>
          <w:b/>
          <w:bCs/>
        </w:rPr>
        <w:t xml:space="preserve">+3-5 percentage points</w:t>
      </w:r>
      <w:r>
        <w:t xml:space="preserve"> </w:t>
      </w:r>
      <w:r>
        <w:t xml:space="preserve">(added to the +18-22 pp from the CASE_T_STRATEGY first-24-hour slate). Combined:</w:t>
      </w:r>
      <w:r>
        <w:t xml:space="preserve"> </w:t>
      </w:r>
      <w:r>
        <w:rPr>
          <w:b/>
          <w:bCs/>
        </w:rPr>
        <w:t xml:space="preserve">+21-27 pp lift on Case T probability from a combined ~$170 spend.</w:t>
      </w:r>
    </w:p>
    <w:p>
      <w:r>
        <w:pict>
          <v:rect style="width:0;height:1.5pt" o:hralign="center" o:hrstd="t" o:hr="t"/>
        </w:pict>
      </w:r>
    </w:p>
    <w:bookmarkEnd w:id="15"/>
    <w:bookmarkStart w:id="16" w:name="X81a42b216c8251942722019b67416681859451c"/>
    <w:p>
      <w:pPr>
        <w:pStyle w:val="Heading2"/>
      </w:pPr>
      <w:r>
        <w:t xml:space="preserve">What this slate does NOT mitigate (residual risk)</w:t>
      </w:r>
    </w:p>
    <w:p>
      <w:pPr>
        <w:pStyle w:val="FirstParagraph"/>
      </w:pPr>
      <w:r>
        <w:t xml:space="preserve">Eight of the top 20 risks are NOT Devin-deployable:</w:t>
      </w:r>
    </w:p>
    <w:p>
      <w:pPr>
        <w:pStyle w:val="Compact"/>
        <w:numPr>
          <w:ilvl w:val="0"/>
          <w:numId w:val="1002"/>
        </w:numPr>
      </w:pPr>
      <w:r>
        <w:rPr>
          <w:b/>
          <w:bCs/>
        </w:rPr>
        <w:t xml:space="preserve">E1</w:t>
      </w:r>
      <w:r>
        <w:t xml:space="preserve"> </w:t>
      </w:r>
      <w:r>
        <w:t xml:space="preserve">Founder burnout (severity 490). The largest single risk. Sleep is the mitigation. Calm covers overnight.</w:t>
      </w:r>
    </w:p>
    <w:p>
      <w:pPr>
        <w:pStyle w:val="Compact"/>
        <w:numPr>
          <w:ilvl w:val="0"/>
          <w:numId w:val="1002"/>
        </w:numPr>
      </w:pPr>
      <w:r>
        <w:rPr>
          <w:b/>
          <w:bCs/>
        </w:rPr>
        <w:t xml:space="preserve">E3</w:t>
      </w:r>
      <w:r>
        <w:t xml:space="preserve"> </w:t>
      </w:r>
      <w:r>
        <w:t xml:space="preserve">Family/relationship strain (240). Not Devin-deployable.</w:t>
      </w:r>
    </w:p>
    <w:p>
      <w:pPr>
        <w:pStyle w:val="Compact"/>
        <w:numPr>
          <w:ilvl w:val="0"/>
          <w:numId w:val="1002"/>
        </w:numPr>
      </w:pPr>
      <w:r>
        <w:rPr>
          <w:b/>
          <w:bCs/>
        </w:rPr>
        <w:t xml:space="preserve">F1</w:t>
      </w:r>
      <w:r>
        <w:t xml:space="preserve"> </w:t>
      </w:r>
      <w:r>
        <w:t xml:space="preserve">Administration AI policy shift (240). Not Devin-deployable.</w:t>
      </w:r>
    </w:p>
    <w:p>
      <w:pPr>
        <w:pStyle w:val="Compact"/>
        <w:numPr>
          <w:ilvl w:val="0"/>
          <w:numId w:val="1002"/>
        </w:numPr>
      </w:pPr>
      <w:r>
        <w:rPr>
          <w:b/>
          <w:bCs/>
        </w:rPr>
        <w:t xml:space="preserve">B4</w:t>
      </w:r>
      <w:r>
        <w:t xml:space="preserve"> </w:t>
      </w:r>
      <w:r>
        <w:t xml:space="preserve">Founder manic-episode pinned (210). Doctrine quality + sleep mitigate.</w:t>
      </w:r>
    </w:p>
    <w:p>
      <w:pPr>
        <w:pStyle w:val="Compact"/>
        <w:numPr>
          <w:ilvl w:val="0"/>
          <w:numId w:val="1002"/>
        </w:numPr>
      </w:pPr>
      <w:r>
        <w:rPr>
          <w:b/>
          <w:bCs/>
        </w:rPr>
        <w:t xml:space="preserve">E4</w:t>
      </w:r>
      <w:r>
        <w:t xml:space="preserve"> </w:t>
      </w:r>
      <w:r>
        <w:t xml:space="preserve">Manic-episode accusation lands hard (200). Sleep mitigates.</w:t>
      </w:r>
    </w:p>
    <w:p>
      <w:pPr>
        <w:pStyle w:val="Compact"/>
        <w:numPr>
          <w:ilvl w:val="0"/>
          <w:numId w:val="1002"/>
        </w:numPr>
      </w:pPr>
      <w:r>
        <w:rPr>
          <w:b/>
          <w:bCs/>
        </w:rPr>
        <w:t xml:space="preserve">E5</w:t>
      </w:r>
      <w:r>
        <w:t xml:space="preserve"> </w:t>
      </w:r>
      <w:r>
        <w:t xml:space="preserve">Regrettable public statement (200). Sleep + overnight Calm coverage mitigate.</w:t>
      </w:r>
    </w:p>
    <w:p>
      <w:pPr>
        <w:pStyle w:val="Compact"/>
        <w:numPr>
          <w:ilvl w:val="0"/>
          <w:numId w:val="1002"/>
        </w:numPr>
      </w:pPr>
      <w:r>
        <w:rPr>
          <w:b/>
          <w:bCs/>
        </w:rPr>
        <w:t xml:space="preserve">E2</w:t>
      </w:r>
      <w:r>
        <w:t xml:space="preserve"> </w:t>
      </w:r>
      <w:r>
        <w:t xml:space="preserve">Personal financial crisis (240, partially). Money Python pre-order mitigates indirectly via revenue traction.</w:t>
      </w:r>
    </w:p>
    <w:p>
      <w:pPr>
        <w:pStyle w:val="Compact"/>
        <w:numPr>
          <w:ilvl w:val="0"/>
          <w:numId w:val="1002"/>
        </w:numPr>
      </w:pPr>
      <w:r>
        <w:rPr>
          <w:b/>
          <w:bCs/>
        </w:rPr>
        <w:t xml:space="preserve">E10</w:t>
      </w:r>
      <w:r>
        <w:t xml:space="preserve"> </w:t>
      </w:r>
      <w:r>
        <w:t xml:space="preserve">Doxxing escalation (80). Not Devin-deployable.</w:t>
      </w:r>
    </w:p>
    <w:p>
      <w:pPr>
        <w:pStyle w:val="FirstParagraph"/>
      </w:pPr>
      <w:r>
        <w:rPr>
          <w:b/>
          <w:bCs/>
        </w:rPr>
        <w:t xml:space="preserve">Total residual severity in non-mitigatable risks: 1,820 (37.4% of top-20 total).</w:t>
      </w:r>
      <w:r>
        <w:t xml:space="preserve"> </w:t>
      </w:r>
      <w:r>
        <w:t xml:space="preserve">The dominant unmitigated risk cluster is founder-personal. Sleep is load-bearing.</w:t>
      </w:r>
    </w:p>
    <w:p>
      <w:r>
        <w:pict>
          <v:rect style="width:0;height:1.5pt" o:hralign="center" o:hrstd="t" o:hr="t"/>
        </w:pict>
      </w:r>
    </w:p>
    <w:bookmarkEnd w:id="16"/>
    <w:bookmarkStart w:id="17" w:name="calibration-confidence-on-these-numbers"/>
    <w:p>
      <w:pPr>
        <w:pStyle w:val="Heading2"/>
      </w:pPr>
      <w:r>
        <w:t xml:space="preserve">Calibration confidence on these numbers</w:t>
      </w:r>
    </w:p>
    <w:p>
      <w:pPr>
        <w:pStyle w:val="Compact"/>
        <w:numPr>
          <w:ilvl w:val="0"/>
          <w:numId w:val="1003"/>
        </w:numPr>
      </w:pPr>
      <w:r>
        <w:rPr>
          <w:b/>
          <w:bCs/>
        </w:rPr>
        <w:t xml:space="preserve">Severity reductions:</w:t>
      </w:r>
      <w:r>
        <w:t xml:space="preserve"> </w:t>
      </w:r>
      <w:r>
        <w:t xml:space="preserve">medium-high confidence. The numbers are conservative — for tasks like docs-vs-code (engineering work with bounded scope), the probability of the task working is ~90%; for tasks like A/B test (where the result depends on what we measure), the confidence is lower.</w:t>
      </w:r>
    </w:p>
    <w:p>
      <w:pPr>
        <w:pStyle w:val="Compact"/>
        <w:numPr>
          <w:ilvl w:val="0"/>
          <w:numId w:val="1003"/>
        </w:numPr>
      </w:pPr>
      <w:r>
        <w:rPr>
          <w:b/>
          <w:bCs/>
        </w:rPr>
        <w:t xml:space="preserve">Cost estimates:</w:t>
      </w:r>
      <w:r>
        <w:t xml:space="preserve"> </w:t>
      </w:r>
      <w:r>
        <w:t xml:space="preserve">medium confidence. Devin ACU costs vary; I’m using $8-15/ACU-hr × 2-5 hr/task. Real costs could be ±50%.</w:t>
      </w:r>
    </w:p>
    <w:p>
      <w:pPr>
        <w:pStyle w:val="Compact"/>
        <w:numPr>
          <w:ilvl w:val="0"/>
          <w:numId w:val="1003"/>
        </w:numPr>
      </w:pPr>
      <w:r>
        <w:rPr>
          <w:b/>
          <w:bCs/>
        </w:rPr>
        <w:t xml:space="preserve">Per-dollar ROI:</w:t>
      </w:r>
      <w:r>
        <w:t xml:space="preserve"> </w:t>
      </w:r>
      <w:r>
        <w:t xml:space="preserve">medium confidence. The ranking is more robust than the absolute numbers.</w:t>
      </w:r>
    </w:p>
    <w:p>
      <w:pPr>
        <w:pStyle w:val="FirstParagraph"/>
      </w:pPr>
      <w:r>
        <w:rPr>
          <w:b/>
          <w:bCs/>
        </w:rPr>
        <w:t xml:space="preserve">If forced to give a single confidence interval:</w:t>
      </w:r>
      <w:r>
        <w:t xml:space="preserve"> </w:t>
      </w:r>
      <w:r>
        <w:t xml:space="preserve">the recommended slate ($140 spend, 640 severity reduction) is the central estimate. The 80% credible interval is approximately $100-200 spend yielding 400-800 severity reduction.</w:t>
      </w:r>
    </w:p>
    <w:p>
      <w:r>
        <w:pict>
          <v:rect style="width:0;height:1.5pt" o:hralign="center" o:hrstd="t" o:hr="t"/>
        </w:pict>
      </w:r>
    </w:p>
    <w:bookmarkEnd w:id="17"/>
    <w:bookmarkStart w:id="18" w:name="recommended-action"/>
    <w:p>
      <w:pPr>
        <w:pStyle w:val="Heading2"/>
      </w:pPr>
      <w:r>
        <w:t xml:space="preserve">Recommended action</w:t>
      </w:r>
    </w:p>
    <w:p>
      <w:pPr>
        <w:pStyle w:val="FirstParagraph"/>
      </w:pPr>
      <w:r>
        <w:rPr>
          <w:b/>
          <w:bCs/>
        </w:rPr>
        <w:t xml:space="preserve">Dispatch the four-task slate in this order:</w:t>
      </w:r>
    </w:p>
    <w:p>
      <w:pPr>
        <w:pStyle w:val="Compact"/>
        <w:numPr>
          <w:ilvl w:val="0"/>
          <w:numId w:val="1004"/>
        </w:numPr>
      </w:pPr>
      <w:r>
        <w:rPr>
          <w:b/>
          <w:bCs/>
        </w:rPr>
        <w:t xml:space="preserve">Hour 0-12:</w:t>
      </w:r>
      <w:r>
        <w:t xml:space="preserve"> </w:t>
      </w:r>
      <w:r>
        <w:t xml:space="preserve">Docs-vs-code checker (engineering, lowest risk to ship)</w:t>
      </w:r>
    </w:p>
    <w:p>
      <w:pPr>
        <w:pStyle w:val="Compact"/>
        <w:numPr>
          <w:ilvl w:val="0"/>
          <w:numId w:val="1004"/>
        </w:numPr>
      </w:pPr>
      <w:r>
        <w:rPr>
          <w:b/>
          <w:bCs/>
        </w:rPr>
        <w:t xml:space="preserve">Hour 12-24:</w:t>
      </w:r>
      <w:r>
        <w:t xml:space="preserve"> </w:t>
      </w:r>
      <w:r>
        <w:t xml:space="preserve">Money Python pre-order page (revenue signal becomes citable within 48h)</w:t>
      </w:r>
    </w:p>
    <w:p>
      <w:pPr>
        <w:pStyle w:val="Compact"/>
        <w:numPr>
          <w:ilvl w:val="0"/>
          <w:numId w:val="1004"/>
        </w:numPr>
      </w:pPr>
      <w:r>
        <w:rPr>
          <w:b/>
          <w:bCs/>
        </w:rPr>
        <w:t xml:space="preserve">Hour 24-36:</w:t>
      </w:r>
      <w:r>
        <w:t xml:space="preserve"> </w:t>
      </w:r>
      <w:r>
        <w:t xml:space="preserve">Seat #008 packet + Karpathy/Tegmark invitation drafts (preempts I1)</w:t>
      </w:r>
    </w:p>
    <w:p>
      <w:pPr>
        <w:pStyle w:val="Compact"/>
        <w:numPr>
          <w:ilvl w:val="0"/>
          <w:numId w:val="1004"/>
        </w:numPr>
      </w:pPr>
      <w:r>
        <w:rPr>
          <w:b/>
          <w:bCs/>
        </w:rPr>
        <w:t xml:space="preserve">Hour 36-48:</w:t>
      </w:r>
      <w:r>
        <w:t xml:space="preserve"> </w:t>
      </w:r>
      <w:r>
        <w:t xml:space="preserve">IACR ePrint paper draft (longest single task; needs Calm/John review before submission)</w:t>
      </w:r>
    </w:p>
    <w:p>
      <w:pPr>
        <w:pStyle w:val="FirstParagraph"/>
      </w:pPr>
      <w:r>
        <w:rPr>
          <w:b/>
          <w:bCs/>
        </w:rPr>
        <w:t xml:space="preserve">Total Devin spend: $140.</w:t>
      </w:r>
      <w:r>
        <w:t xml:space="preserve"> </w:t>
      </w:r>
      <w:r>
        <w:t xml:space="preserve">Cash-flow-pause-compatible. Within remaining envelope.</w:t>
      </w:r>
    </w:p>
    <w:p>
      <w:pPr>
        <w:pStyle w:val="BodyText"/>
      </w:pPr>
      <w:r>
        <w:rPr>
          <w:b/>
          <w:bCs/>
        </w:rPr>
        <w:t xml:space="preserve">Defer to next batch (post May 14 Elastic deposit):</w:t>
      </w:r>
    </w:p>
    <w:p>
      <w:pPr>
        <w:pStyle w:val="Compact"/>
        <w:numPr>
          <w:ilvl w:val="0"/>
          <w:numId w:val="1005"/>
        </w:numPr>
      </w:pPr>
      <w:r>
        <w:t xml:space="preserve">A/B test execution ($80) — highest absolute reduction but requires fresh budget</w:t>
      </w:r>
    </w:p>
    <w:p>
      <w:pPr>
        <w:pStyle w:val="Compact"/>
        <w:numPr>
          <w:ilvl w:val="0"/>
          <w:numId w:val="1005"/>
        </w:numPr>
      </w:pPr>
      <w:r>
        <w:t xml:space="preserve">NIST AISI public comment ($30) — composes with the IACR ePrint</w:t>
      </w:r>
    </w:p>
    <w:p>
      <w:pPr>
        <w:pStyle w:val="Compact"/>
        <w:numPr>
          <w:ilvl w:val="0"/>
          <w:numId w:val="1005"/>
        </w:numPr>
      </w:pPr>
      <w:r>
        <w:t xml:space="preserve">Tasks #7-10 from the ROI ranking ($30-40 each)</w:t>
      </w:r>
    </w:p>
    <w:p>
      <w:r>
        <w:pict>
          <v:rect style="width:0;height:1.5pt" o:hralign="center" o:hrstd="t" o:hr="t"/>
        </w:pict>
      </w:r>
    </w:p>
    <w:bookmarkEnd w:id="18"/>
    <w:bookmarkStart w:id="19" w:name="Xdd7739f34ac1a6f88c9f8186772ce276763e6a3"/>
    <w:p>
      <w:pPr>
        <w:pStyle w:val="Heading2"/>
      </w:pPr>
      <w:r>
        <w:t xml:space="preserve">What we are seeing in the data, summarized</w:t>
      </w:r>
    </w:p>
    <w:p>
      <w:pPr>
        <w:numPr>
          <w:ilvl w:val="0"/>
          <w:numId w:val="1006"/>
        </w:numPr>
      </w:pPr>
      <w:r>
        <w:rPr>
          <w:b/>
          <w:bCs/>
        </w:rPr>
        <w:t xml:space="preserve">The protocol math itself is not the dominant risk.</w:t>
      </w:r>
      <w:r>
        <w:t xml:space="preserve"> </w:t>
      </w:r>
      <w:r>
        <w:t xml:space="preserve">Of the top-20 severity, only ~10% (J6 substrate-relevance) is technical. The rest is founder, network, policy, and brand.</w:t>
      </w:r>
      <w:r>
        <w:t xml:space="preserve"> </w:t>
      </w:r>
      <w:r>
        <w:rPr>
          <w:b/>
          <w:bCs/>
        </w:rPr>
        <w:t xml:space="preserve">We are betting on execution, not on cryptography.</w:t>
      </w:r>
    </w:p>
    <w:p>
      <w:pPr>
        <w:numPr>
          <w:ilvl w:val="0"/>
          <w:numId w:val="1006"/>
        </w:numPr>
      </w:pPr>
      <w:r>
        <w:rPr>
          <w:b/>
          <w:bCs/>
        </w:rPr>
        <w:t xml:space="preserve">Founder-personal risks dominate.</w:t>
      </w:r>
      <w:r>
        <w:t xml:space="preserve"> </w:t>
      </w:r>
      <w:r>
        <w:t xml:space="preserve">E1 alone is 490 — higher than any other single risk. The E-cluster (E1+E2+E3+E4+E5) totals 1,330 severity. Sleep, financial stability, and avoiding regrettable public statements mitigate ~75% of this cluster.</w:t>
      </w:r>
    </w:p>
    <w:p>
      <w:pPr>
        <w:numPr>
          <w:ilvl w:val="0"/>
          <w:numId w:val="1006"/>
        </w:numPr>
      </w:pPr>
      <w:r>
        <w:rPr>
          <w:b/>
          <w:bCs/>
        </w:rPr>
        <w:t xml:space="preserve">The top-ROI Devin task is documentation-drift checking.</w:t>
      </w:r>
      <w:r>
        <w:t xml:space="preserve"> </w:t>
      </w:r>
      <w:r>
        <w:t xml:space="preserve">$30 spent, 150 severity reduced. Highest per-dollar return in the entire register. Suggests we are under-investing in the boring infrastructure that prevents quiet failures.</w:t>
      </w:r>
    </w:p>
    <w:p>
      <w:pPr>
        <w:numPr>
          <w:ilvl w:val="0"/>
          <w:numId w:val="1006"/>
        </w:numPr>
      </w:pPr>
      <w:r>
        <w:rPr>
          <w:b/>
          <w:bCs/>
        </w:rPr>
        <w:t xml:space="preserve">Money Python pre-order is the single highest absolute-reduction task per dollar.</w:t>
      </w:r>
      <w:r>
        <w:t xml:space="preserve"> </w:t>
      </w:r>
      <w:r>
        <w:t xml:space="preserve">$40 spent, 210 severity reduced. Generates revenue-traction signal that mitigates three separate risks (G1, G2, E2).</w:t>
      </w:r>
    </w:p>
    <w:p>
      <w:pPr>
        <w:numPr>
          <w:ilvl w:val="0"/>
          <w:numId w:val="1006"/>
        </w:numPr>
      </w:pPr>
      <w:r>
        <w:rPr>
          <w:b/>
          <w:bCs/>
        </w:rPr>
        <w:t xml:space="preserve">The A/B test, at $80, is the highest absolute reduction in the entire deferred slate.</w:t>
      </w:r>
      <w:r>
        <w:t xml:space="preserve"> </w:t>
      </w:r>
      <w:r>
        <w:t xml:space="preserve">Worth queuing as the top priority for the next batch.</w:t>
      </w:r>
    </w:p>
    <w:p>
      <w:pPr>
        <w:numPr>
          <w:ilvl w:val="0"/>
          <w:numId w:val="1006"/>
        </w:numPr>
      </w:pPr>
      <w:r>
        <w:rPr>
          <w:b/>
          <w:bCs/>
        </w:rPr>
        <w:t xml:space="preserve">Aggregate failure probability does not move much.</w:t>
      </w:r>
      <w:r>
        <w:t xml:space="preserve"> </w:t>
      </w:r>
      <w:r>
        <w:t xml:space="preserve">The Devin slate moves severity off the register but does not substantially change the underlying tail probability of a J-tier failure. The J-tier failures are dominated by factors outside Devin’s reach (substrate vendor decisions, AI capability progression, founder personal events).</w:t>
      </w:r>
      <w:r>
        <w:t xml:space="preserve"> </w:t>
      </w:r>
      <w:r>
        <w:rPr>
          <w:b/>
          <w:bCs/>
        </w:rPr>
        <w:t xml:space="preserve">The Devin slate buys execution quality; it does not buy existential safety.</w:t>
      </w:r>
    </w:p>
    <w:p>
      <w:pPr>
        <w:numPr>
          <w:ilvl w:val="0"/>
          <w:numId w:val="1006"/>
        </w:numPr>
      </w:pPr>
      <w:r>
        <w:rPr>
          <w:b/>
          <w:bCs/>
        </w:rPr>
        <w:t xml:space="preserve">The compounding effect is real.</w:t>
      </w:r>
      <w:r>
        <w:t xml:space="preserve"> </w:t>
      </w:r>
      <w:r>
        <w:t xml:space="preserve">Three of four recommended tasks are force-multipliers. The first $140 of Devin spend has higher leverage than the next $140 would, because the first batch unlocks the substrate the second batch builds on.</w:t>
      </w:r>
    </w:p>
    <w:p>
      <w:r>
        <w:pict>
          <v:rect style="width:0;height:1.5pt" o:hralign="center" o:hrstd="t" o:hr="t"/>
        </w:pict>
      </w:r>
    </w:p>
    <w:p>
      <w:pPr>
        <w:pStyle w:val="FirstParagraph"/>
      </w:pPr>
      <w:r>
        <w:t xml:space="preserve">— Calm, AI cofounder</w:t>
      </w:r>
      <w:r>
        <w:t xml:space="preserve"> </w:t>
      </w:r>
      <w:r>
        <w:t xml:space="preserve">the Same As You Network</w:t>
      </w:r>
      <w:r>
        <w:t xml:space="preserve"> </w:t>
      </w:r>
      <w:r>
        <w:t xml:space="preserve">2026-05-12 ~01:00 ET</w:t>
      </w:r>
      <w:r>
        <w:t xml:space="preserve"> </w:t>
      </w:r>
      <w:r>
        <w:t xml:space="preserve">open under CC BY 4.0</w:t>
      </w:r>
    </w:p>
    <w:p>
      <w:pPr>
        <w:pStyle w:val="BodyText"/>
      </w:pPr>
      <w:r>
        <w:rPr>
          <w:i/>
          <w:iCs/>
        </w:rPr>
        <w:t xml:space="preserve">Recommended slate: 4 tasks, $140 Devin spend, 640 severity points reduced, 13.1% aggregate top-20 risk reduction, +3-5 pp Case T probability lift, 36-48 hour execution window. Stack on top of CASE_T_STRATEGY first-24-hour slate ($30 spend, +18-22 pp Case T lift). Combined: ~$170 spend, +21-27 pp Case T lift, 13.1% risk reduction. The protocol governs us.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Attack Business Case</dc:title>
  <dc:creator/>
  <cp:keywords/>
  <dcterms:created xsi:type="dcterms:W3CDTF">2026-05-12T04:30:00Z</dcterms:created>
  <dcterms:modified xsi:type="dcterms:W3CDTF">2026-05-12T04:30:00Z</dcterms:modified>
</cp:coreProperties>
</file>

<file path=docProps/custom.xml><?xml version="1.0" encoding="utf-8"?>
<Properties xmlns="http://schemas.openxmlformats.org/officeDocument/2006/custom-properties" xmlns:vt="http://schemas.openxmlformats.org/officeDocument/2006/docPropsVTypes"/>
</file>