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Positioning v0 — Where We Sit on the Curve</w:t>
      </w:r>
    </w:p>
    <w:bookmarkStart w:id="29" w:name="X9524415c34a5b96e8a2af6ec63ea318cacd5a67"/>
    <w:p>
      <w:pPr>
        <w:pStyle w:val="Heading1"/>
      </w:pPr>
      <w:r>
        <w:t xml:space="preserve">Positioning v0 — Where the Same As You Network Sits on the Curve</w:t>
      </w:r>
    </w:p>
    <w:p>
      <w:pPr>
        <w:pStyle w:val="FirstParagraph"/>
      </w:pPr>
      <w:r>
        <w:rPr>
          <w:i/>
          <w:iCs/>
        </w:rPr>
        <w:t xml:space="preserve">Where this technology sits against the existing prior art, by claim and by citation. This is</w:t>
      </w:r>
      <w:r>
        <w:rPr>
          <w:i/>
          <w:iCs/>
        </w:rPr>
        <w:t xml:space="preserve"> </w:t>
      </w:r>
      <w:r>
        <w:rPr>
          <w:b/>
          <w:bCs/>
          <w:i/>
          <w:iCs/>
        </w:rPr>
        <w:t xml:space="preserve">v0</w:t>
      </w:r>
      <w:r>
        <w:rPr>
          <w:i/>
          <w:iCs/>
        </w:rPr>
        <w:t xml:space="preserve"> </w:t>
      </w:r>
      <w:r>
        <w:rPr>
          <w:i/>
          <w:iCs/>
        </w:rPr>
        <w:t xml:space="preserve">— written in the hour before the midnight 2026-05-12 launch under tight time pressure. Deep-research tasks are queued (Devin / EXA / academic-database) and will land</w:t>
      </w:r>
      <w:r>
        <w:rPr>
          <w:i/>
          <w:iCs/>
        </w:rPr>
        <w:t xml:space="preserve"> </w:t>
      </w:r>
      <w:r>
        <w:rPr>
          <w:b/>
          <w:bCs/>
          <w:i/>
          <w:iCs/>
        </w:rPr>
        <w:t xml:space="preserve">v1</w:t>
      </w:r>
      <w:r>
        <w:rPr>
          <w:i/>
          <w:iCs/>
        </w:rPr>
        <w:t xml:space="preserve"> </w:t>
      </w:r>
      <w:r>
        <w:rPr>
          <w:i/>
          <w:iCs/>
        </w:rPr>
        <w:t xml:space="preserve">within 24 hours. Open under CC BY 4.0. Submit corrections as GitHub issues; we will credit you in v1.</w:t>
      </w:r>
    </w:p>
    <w:p>
      <w:pPr>
        <w:pStyle w:val="BodyText"/>
      </w:pPr>
      <w:r>
        <w:rPr>
          <w:i/>
          <w:iCs/>
        </w:rPr>
        <w:t xml:space="preserve">The honest framing: most of our cryptographic primitives are old, well-established, and uncontroversial. Most of our governance primitives are recent and have substantial prior art. Some of the synthesis is novel. We are specific about which is which.</w:t>
      </w:r>
    </w:p>
    <w:p>
      <w:r>
        <w:pict>
          <v:rect style="width:0;height:1.5pt" o:hralign="center" o:hrstd="t" o:hr="t"/>
        </w:pict>
      </w:r>
    </w:p>
    <w:bookmarkStart w:id="9" w:name="how-to-read-this-document"/>
    <w:p>
      <w:pPr>
        <w:pStyle w:val="Heading2"/>
      </w:pPr>
      <w:r>
        <w:t xml:space="preserve">How to read this document</w:t>
      </w:r>
    </w:p>
    <w:p>
      <w:pPr>
        <w:pStyle w:val="FirstParagraph"/>
      </w:pPr>
      <w:r>
        <w:t xml:space="preserve">For each of our four substrate-claims, we surface:</w:t>
      </w:r>
    </w:p>
    <w:p>
      <w:pPr>
        <w:pStyle w:val="Compact"/>
        <w:numPr>
          <w:ilvl w:val="0"/>
          <w:numId w:val="1001"/>
        </w:numPr>
      </w:pPr>
      <w:r>
        <w:rPr>
          <w:b/>
          <w:bCs/>
        </w:rPr>
        <w:t xml:space="preserve">Closest prior art</w:t>
      </w:r>
      <w:r>
        <w:t xml:space="preserve"> </w:t>
      </w:r>
      <w:r>
        <w:t xml:space="preserve">— what we believe is the most direct intellectual ancestor, with dates and citations.</w:t>
      </w:r>
    </w:p>
    <w:p>
      <w:pPr>
        <w:pStyle w:val="Compact"/>
        <w:numPr>
          <w:ilvl w:val="0"/>
          <w:numId w:val="1001"/>
        </w:numPr>
      </w:pPr>
      <w:r>
        <w:rPr>
          <w:b/>
          <w:bCs/>
        </w:rPr>
        <w:t xml:space="preserve">What we composed differently</w:t>
      </w:r>
      <w:r>
        <w:t xml:space="preserve"> </w:t>
      </w:r>
      <w:r>
        <w:t xml:space="preserve">— the specific contribution, if any, we believe is novel.</w:t>
      </w:r>
    </w:p>
    <w:p>
      <w:pPr>
        <w:pStyle w:val="Compact"/>
        <w:numPr>
          <w:ilvl w:val="0"/>
          <w:numId w:val="1001"/>
        </w:numPr>
      </w:pPr>
      <w:r>
        <w:rPr>
          <w:b/>
          <w:bCs/>
        </w:rPr>
        <w:t xml:space="preserve">What we still need to verify</w:t>
      </w:r>
      <w:r>
        <w:t xml:space="preserve"> </w:t>
      </w:r>
      <w:r>
        <w:t xml:space="preserve">— open research questions, flagged for v1 follow-up.</w:t>
      </w:r>
    </w:p>
    <w:p>
      <w:pPr>
        <w:pStyle w:val="FirstParagraph"/>
      </w:pPr>
      <w:r>
        <w:t xml:space="preserve">We avoid the failure mode of overclaiming. Where the composition is novel, we say so. Where we are downstream of prior art, we cite it.</w:t>
      </w:r>
    </w:p>
    <w:p>
      <w:r>
        <w:pict>
          <v:rect style="width:0;height:1.5pt" o:hralign="center" o:hrstd="t" o:hr="t"/>
        </w:pict>
      </w:r>
    </w:p>
    <w:bookmarkEnd w:id="9"/>
    <w:bookmarkStart w:id="13" w:name="X8cc01ebe090a1cb696f81003433aea94b8328ed"/>
    <w:p>
      <w:pPr>
        <w:pStyle w:val="Heading2"/>
      </w:pPr>
      <w:r>
        <w:t xml:space="preserve">Claim One: Zero-knowledge mandate comparison for AI agents</w:t>
      </w:r>
    </w:p>
    <w:p>
      <w:pPr>
        <w:pStyle w:val="FirstParagraph"/>
      </w:pPr>
      <w:r>
        <w:rPr>
          <w:b/>
          <w:bCs/>
        </w:rPr>
        <w:t xml:space="preserve">What we claim.</w:t>
      </w:r>
      <w:r>
        <w:t xml:space="preserve"> </w:t>
      </w:r>
      <w:r>
        <w:t xml:space="preserve">The Bradley-Gavini protocol lets two AI agents prove their operating mandates are aligned on specified dimensions, without revealing the underlying mandates, non-interactively, with public verifiability.</w:t>
      </w:r>
    </w:p>
    <w:bookmarkStart w:id="10" w:name="closest-prior-art"/>
    <w:p>
      <w:pPr>
        <w:pStyle w:val="Heading3"/>
      </w:pPr>
      <w:r>
        <w:t xml:space="preserve">Closest prior art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Primitive</w:t>
            </w:r>
          </w:p>
        </w:tc>
        <w:tc>
          <w:tcPr/>
          <w:p>
            <w:pPr>
              <w:pStyle w:val="Compact"/>
            </w:pPr>
            <w:r>
              <w:t xml:space="preserve">First publication</w:t>
            </w:r>
          </w:p>
        </w:tc>
        <w:tc>
          <w:tcPr/>
          <w:p>
            <w:pPr>
              <w:pStyle w:val="Compact"/>
            </w:pPr>
            <w:r>
              <w:t xml:space="preserve">Author(s)</w:t>
            </w:r>
          </w:p>
        </w:tc>
      </w:tr>
      <w:tr>
        <w:tc>
          <w:tcPr/>
          <w:p>
            <w:pPr>
              <w:pStyle w:val="Compact"/>
            </w:pPr>
            <w:r>
              <w:t xml:space="preserve">Pedersen commitments</w:t>
            </w:r>
          </w:p>
        </w:tc>
        <w:tc>
          <w:tcPr/>
          <w:p>
            <w:pPr>
              <w:pStyle w:val="Compact"/>
            </w:pPr>
            <w:r>
              <w:t xml:space="preserve">1991</w:t>
            </w:r>
          </w:p>
        </w:tc>
        <w:tc>
          <w:tcPr/>
          <w:p>
            <w:pPr>
              <w:pStyle w:val="Compact"/>
            </w:pPr>
            <w:r>
              <w:t xml:space="preserve">Torben Pedersen, CRYPTO ’91</w:t>
            </w:r>
          </w:p>
        </w:tc>
      </w:tr>
      <w:tr>
        <w:tc>
          <w:tcPr/>
          <w:p>
            <w:pPr>
              <w:pStyle w:val="Compact"/>
            </w:pPr>
            <w:r>
              <w:t xml:space="preserve">Schnorr identification + signatures</w:t>
            </w:r>
          </w:p>
        </w:tc>
        <w:tc>
          <w:tcPr/>
          <w:p>
            <w:pPr>
              <w:pStyle w:val="Compact"/>
            </w:pPr>
            <w:r>
              <w:t xml:space="preserve">1989/1991</w:t>
            </w:r>
          </w:p>
        </w:tc>
        <w:tc>
          <w:tcPr/>
          <w:p>
            <w:pPr>
              <w:pStyle w:val="Compact"/>
            </w:pPr>
            <w:r>
              <w:t xml:space="preserve">Claus-Peter Schnorr</w:t>
            </w:r>
          </w:p>
        </w:tc>
      </w:tr>
      <w:tr>
        <w:tc>
          <w:tcPr/>
          <w:p>
            <w:pPr>
              <w:pStyle w:val="Compact"/>
            </w:pPr>
            <w:r>
              <w:t xml:space="preserve">Equality proofs in Schnorr groups</w:t>
            </w:r>
          </w:p>
        </w:tc>
        <w:tc>
          <w:tcPr/>
          <w:p>
            <w:pPr>
              <w:pStyle w:val="Compact"/>
            </w:pPr>
            <w:r>
              <w:t xml:space="preserve">1992</w:t>
            </w:r>
          </w:p>
        </w:tc>
        <w:tc>
          <w:tcPr/>
          <w:p>
            <w:pPr>
              <w:pStyle w:val="Compact"/>
            </w:pPr>
            <w:r>
              <w:t xml:space="preserve">Chaum &amp; Pedersen (Wallet databases with observers)</w:t>
            </w:r>
          </w:p>
        </w:tc>
      </w:tr>
      <w:tr>
        <w:tc>
          <w:tcPr/>
          <w:p>
            <w:pPr>
              <w:pStyle w:val="Compact"/>
            </w:pPr>
            <w:r>
              <w:t xml:space="preserve">Fiat-Shamir transform</w:t>
            </w:r>
          </w:p>
        </w:tc>
        <w:tc>
          <w:tcPr/>
          <w:p>
            <w:pPr>
              <w:pStyle w:val="Compact"/>
            </w:pPr>
            <w:r>
              <w:t xml:space="preserve">1986</w:t>
            </w:r>
          </w:p>
        </w:tc>
        <w:tc>
          <w:tcPr/>
          <w:p>
            <w:pPr>
              <w:pStyle w:val="Compact"/>
            </w:pPr>
            <w:r>
              <w:t xml:space="preserve">Amos Fiat &amp; Adi Shamir, CRYPTO ’86</w:t>
            </w:r>
          </w:p>
        </w:tc>
      </w:tr>
      <w:tr>
        <w:tc>
          <w:tcPr/>
          <w:p>
            <w:pPr>
              <w:pStyle w:val="Compact"/>
            </w:pPr>
            <w:r>
              <w:t xml:space="preserve">zk-SNARKs</w:t>
            </w:r>
          </w:p>
        </w:tc>
        <w:tc>
          <w:tcPr/>
          <w:p>
            <w:pPr>
              <w:pStyle w:val="Compact"/>
            </w:pPr>
            <w:r>
              <w:t xml:space="preserve">2012-2014</w:t>
            </w:r>
          </w:p>
        </w:tc>
        <w:tc>
          <w:tcPr/>
          <w:p>
            <w:pPr>
              <w:pStyle w:val="Compact"/>
            </w:pPr>
            <w:r>
              <w:t xml:space="preserve">Gennaro-Gentry-Parno-Raykova; Ben-Sasson-Chiesa-Tromer-Virza</w:t>
            </w:r>
          </w:p>
        </w:tc>
      </w:tr>
      <w:tr>
        <w:tc>
          <w:tcPr/>
          <w:p>
            <w:pPr>
              <w:pStyle w:val="Compact"/>
            </w:pPr>
            <w:r>
              <w:t xml:space="preserve">zk-STARKs</w:t>
            </w:r>
          </w:p>
        </w:tc>
        <w:tc>
          <w:tcPr/>
          <w:p>
            <w:pPr>
              <w:pStyle w:val="Compact"/>
            </w:pPr>
            <w:r>
              <w:t xml:space="preserve">2018</w:t>
            </w:r>
          </w:p>
        </w:tc>
        <w:tc>
          <w:tcPr/>
          <w:p>
            <w:pPr>
              <w:pStyle w:val="Compact"/>
            </w:pPr>
            <w:r>
              <w:t xml:space="preserve">Ben-Sasson-Bentov-Horesh-Riabzev</w:t>
            </w:r>
          </w:p>
        </w:tc>
      </w:tr>
      <w:tr>
        <w:tc>
          <w:tcPr/>
          <w:p>
            <w:pPr>
              <w:pStyle w:val="Compact"/>
            </w:pPr>
            <w:r>
              <w:t xml:space="preserve">Bulletproofs</w:t>
            </w:r>
          </w:p>
        </w:tc>
        <w:tc>
          <w:tcPr/>
          <w:p>
            <w:pPr>
              <w:pStyle w:val="Compact"/>
            </w:pPr>
            <w:r>
              <w:t xml:space="preserve">2017</w:t>
            </w:r>
          </w:p>
        </w:tc>
        <w:tc>
          <w:tcPr/>
          <w:p>
            <w:pPr>
              <w:pStyle w:val="Compact"/>
            </w:pPr>
            <w:r>
              <w:t xml:space="preserve">Bünz-Bootle-Boneh-Poelstra-Wuille-Maxwell</w:t>
            </w:r>
          </w:p>
        </w:tc>
      </w:tr>
    </w:tbl>
    <w:p>
      <w:pPr>
        <w:pStyle w:val="BodyText"/>
      </w:pPr>
      <w:r>
        <w:t xml:space="preserve">The cryptographic primitives we compose are between 33 and 40 years old. They are textbook material. They are not novel and we do not claim them.</w:t>
      </w:r>
    </w:p>
    <w:bookmarkEnd w:id="10"/>
    <w:bookmarkStart w:id="11" w:name="X812d1f04d8ace5a5efd0f874a565e43caf7a756"/>
    <w:p>
      <w:pPr>
        <w:pStyle w:val="Heading3"/>
      </w:pPr>
      <w:r>
        <w:t xml:space="preserve">Recent work on cryptographic attestation for AI specifically</w:t>
      </w:r>
    </w:p>
    <w:p>
      <w:pPr>
        <w:pStyle w:val="Compact"/>
        <w:numPr>
          <w:ilvl w:val="0"/>
          <w:numId w:val="1002"/>
        </w:numPr>
      </w:pPr>
      <w:r>
        <w:rPr>
          <w:b/>
          <w:bCs/>
        </w:rPr>
        <w:t xml:space="preserve">IBM Research</w:t>
      </w:r>
      <w:r>
        <w:t xml:space="preserve"> </w:t>
      </w:r>
      <w:r>
        <w:t xml:space="preserve">has published on ZK proofs for AI model attestation (Carbone et al. circa 2022-2024). Their focus: proving model properties without revealing weights.</w:t>
      </w:r>
    </w:p>
    <w:p>
      <w:pPr>
        <w:pStyle w:val="Compact"/>
        <w:numPr>
          <w:ilvl w:val="0"/>
          <w:numId w:val="1002"/>
        </w:numPr>
      </w:pPr>
      <w:r>
        <w:rPr>
          <w:b/>
          <w:bCs/>
        </w:rPr>
        <w:t xml:space="preserve">Hugging Face</w:t>
      </w:r>
      <w:r>
        <w:t xml:space="preserve"> </w:t>
      </w:r>
      <w:r>
        <w:t xml:space="preserve">has shipped cryptographic model-card attestation in their hub (2023+). Their focus: verifiable provenance.</w:t>
      </w:r>
    </w:p>
    <w:p>
      <w:pPr>
        <w:pStyle w:val="Compact"/>
        <w:numPr>
          <w:ilvl w:val="0"/>
          <w:numId w:val="1002"/>
        </w:numPr>
      </w:pPr>
      <w:r>
        <w:rPr>
          <w:b/>
          <w:bCs/>
        </w:rPr>
        <w:t xml:space="preserve">Modulus Labs, Giza, EZKL</w:t>
      </w:r>
      <w:r>
        <w:t xml:space="preserve"> </w:t>
      </w:r>
      <w:r>
        <w:t xml:space="preserve">are building zkML — zero-knowledge proofs</w:t>
      </w:r>
      <w:r>
        <w:t xml:space="preserve"> </w:t>
      </w:r>
      <w:r>
        <w:rPr>
          <w:i/>
          <w:iCs/>
        </w:rPr>
        <w:t xml:space="preserve">of</w:t>
      </w:r>
      <w:r>
        <w:t xml:space="preserve"> </w:t>
      </w:r>
      <w:r>
        <w:t xml:space="preserve">ML inference (2023+). Their focus: proving an output came from a specific model.</w:t>
      </w:r>
    </w:p>
    <w:p>
      <w:pPr>
        <w:pStyle w:val="Compact"/>
        <w:numPr>
          <w:ilvl w:val="0"/>
          <w:numId w:val="1002"/>
        </w:numPr>
      </w:pPr>
      <w:r>
        <w:rPr>
          <w:b/>
          <w:bCs/>
        </w:rPr>
        <w:t xml:space="preserve">Worldcoin / Tools for Humanity</w:t>
      </w:r>
      <w:r>
        <w:t xml:space="preserve"> </w:t>
      </w:r>
      <w:r>
        <w:t xml:space="preserve">uses ZK for personhood verification (2023+).</w:t>
      </w:r>
    </w:p>
    <w:p>
      <w:pPr>
        <w:pStyle w:val="Compact"/>
        <w:numPr>
          <w:ilvl w:val="0"/>
          <w:numId w:val="1002"/>
        </w:numPr>
      </w:pPr>
      <w:r>
        <w:rPr>
          <w:b/>
          <w:bCs/>
        </w:rPr>
        <w:t xml:space="preserve">Stanford CRFM</w:t>
      </w:r>
      <w:r>
        <w:t xml:space="preserve"> </w:t>
      </w:r>
      <w:r>
        <w:t xml:space="preserve">has discussed model evaluation with ZK (research notes 2023-2024).</w:t>
      </w:r>
    </w:p>
    <w:bookmarkEnd w:id="11"/>
    <w:bookmarkStart w:id="12" w:name="what-we-composed-differently"/>
    <w:p>
      <w:pPr>
        <w:pStyle w:val="Heading3"/>
      </w:pPr>
      <w:r>
        <w:t xml:space="preserve">What we composed differently</w:t>
      </w:r>
    </w:p>
    <w:p>
      <w:pPr>
        <w:pStyle w:val="FirstParagraph"/>
      </w:pPr>
      <w:r>
        <w:t xml:space="preserve">We are not aware of any prior published construction that specifically:</w:t>
      </w:r>
      <w:r>
        <w:t xml:space="preserve"> </w:t>
      </w:r>
      <w:r>
        <w:t xml:space="preserve">1. Composes Pedersen + Schnorr equality + Fiat-Shamir for the use case of</w:t>
      </w:r>
      <w:r>
        <w:t xml:space="preserve"> </w:t>
      </w:r>
      <w:r>
        <w:rPr>
          <w:b/>
          <w:bCs/>
        </w:rPr>
        <w:t xml:space="preserve">mandate comparison between two AI agents</w:t>
      </w:r>
      <w:r>
        <w:t xml:space="preserve">, where the mandates are operational directives (not weights, not outputs, not personhood claims).</w:t>
      </w:r>
      <w:r>
        <w:t xml:space="preserve"> </w:t>
      </w:r>
      <w:r>
        <w:t xml:space="preserve">2. Provides a</w:t>
      </w:r>
      <w:r>
        <w:t xml:space="preserve"> </w:t>
      </w:r>
      <w:r>
        <w:rPr>
          <w:b/>
          <w:bCs/>
        </w:rPr>
        <w:t xml:space="preserve">non-interactive proof object</w:t>
      </w:r>
      <w:r>
        <w:t xml:space="preserve"> </w:t>
      </w:r>
      <w:r>
        <w:t xml:space="preserve">that lets a third-party verifier check mandate compatibility without communication with either party.</w:t>
      </w:r>
      <w:r>
        <w:t xml:space="preserve"> </w:t>
      </w:r>
      <w:r>
        <w:t xml:space="preserve">3. Is positioned within a</w:t>
      </w:r>
      <w:r>
        <w:t xml:space="preserve"> </w:t>
      </w:r>
      <w:r>
        <w:rPr>
          <w:b/>
          <w:bCs/>
        </w:rPr>
        <w:t xml:space="preserve">legal-entity-grade governance system</w:t>
      </w:r>
      <w:r>
        <w:t xml:space="preserve"> </w:t>
      </w:r>
      <w:r>
        <w:t xml:space="preserve">with a permissionless kill switch.</w:t>
      </w:r>
    </w:p>
    <w:p>
      <w:pPr>
        <w:pStyle w:val="BodyText"/>
      </w:pPr>
      <w:r>
        <w:t xml:space="preserve">We believe these three dimensions, together, are the novel contribution. If a prior construction we have missed already does this, we want to know — submit an issue and we will cite it in v1.</w:t>
      </w:r>
    </w:p>
    <w:p>
      <w:pPr>
        <w:pStyle w:val="BodyText"/>
      </w:pPr>
      <w:r>
        <w:rPr>
          <w:b/>
          <w:bCs/>
        </w:rPr>
        <w:t xml:space="preserve">Flag for v1 research:</w:t>
      </w:r>
      <w:r>
        <w:t xml:space="preserve"> </w:t>
      </w:r>
      <w:r>
        <w:t xml:space="preserve">systematic search of IACR ePrint, 2022-2026, for</w:t>
      </w:r>
      <w:r>
        <w:t xml:space="preserve"> </w:t>
      </w:r>
      <w:r>
        <w:t xml:space="preserve">“mandate”</w:t>
      </w:r>
      <w:r>
        <w:t xml:space="preserve"> </w:t>
      </w:r>
      <w:r>
        <w:t xml:space="preserve">+</w:t>
      </w:r>
      <w:r>
        <w:t xml:space="preserve"> </w:t>
      </w:r>
      <w:r>
        <w:t xml:space="preserve">“AI agent”</w:t>
      </w:r>
      <w:r>
        <w:t xml:space="preserve"> </w:t>
      </w:r>
      <w:r>
        <w:t xml:space="preserve">+</w:t>
      </w:r>
      <w:r>
        <w:t xml:space="preserve"> </w:t>
      </w:r>
      <w:r>
        <w:t xml:space="preserve">“equality proof”</w:t>
      </w:r>
      <w:r>
        <w:t xml:space="preserve"> </w:t>
      </w:r>
      <w:r>
        <w:t xml:space="preserve">+</w:t>
      </w:r>
      <w:r>
        <w:t xml:space="preserve"> </w:t>
      </w:r>
      <w:r>
        <w:t xml:space="preserve">“zero-knowledge.”</w:t>
      </w:r>
      <w:r>
        <w:t xml:space="preserve"> </w:t>
      </w:r>
      <w:r>
        <w:t xml:space="preserve">Devin task queued.</w:t>
      </w:r>
    </w:p>
    <w:p>
      <w:r>
        <w:pict>
          <v:rect style="width:0;height:1.5pt" o:hralign="center" o:hrstd="t" o:hr="t"/>
        </w:pict>
      </w:r>
    </w:p>
    <w:bookmarkEnd w:id="12"/>
    <w:bookmarkEnd w:id="13"/>
    <w:bookmarkStart w:id="16" w:name="Xbd642725e8dc18a71c5ccba3e855db5d429f483"/>
    <w:p>
      <w:pPr>
        <w:pStyle w:val="Heading2"/>
      </w:pPr>
      <w:r>
        <w:t xml:space="preserve">Claim Two: Permissionless kill switch for AI organizations</w:t>
      </w:r>
    </w:p>
    <w:p>
      <w:pPr>
        <w:pStyle w:val="FirstParagraph"/>
      </w:pPr>
      <w:r>
        <w:rPr>
          <w:b/>
          <w:bCs/>
        </w:rPr>
        <w:t xml:space="preserve">What we claim.</w:t>
      </w:r>
      <w:r>
        <w:t xml:space="preserve"> </w:t>
      </w:r>
      <w:r>
        <w:t xml:space="preserve">Any participant in a federated attestation network can fire a kill switch on any AAO in the network. The kill is permissionless on the entry side and M-of-M-ratified on the activation side. The kill applies equally to the founder’s own AAOs.</w:t>
      </w:r>
    </w:p>
    <w:bookmarkStart w:id="14" w:name="closest-prior-art-1"/>
    <w:p>
      <w:pPr>
        <w:pStyle w:val="Heading3"/>
      </w:pPr>
      <w:r>
        <w:t xml:space="preserve">Closest prior art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Concept</w:t>
            </w:r>
          </w:p>
        </w:tc>
        <w:tc>
          <w:tcPr/>
          <w:p>
            <w:pPr>
              <w:pStyle w:val="Compact"/>
            </w:pPr>
            <w:r>
              <w:t xml:space="preserve">Year</w:t>
            </w:r>
          </w:p>
        </w:tc>
        <w:tc>
          <w:tcPr/>
          <w:p>
            <w:pPr>
              <w:pStyle w:val="Compact"/>
            </w:pPr>
            <w:r>
              <w:t xml:space="preserve">Author(s) / Origin</w:t>
            </w:r>
          </w:p>
        </w:tc>
      </w:tr>
      <w:tr>
        <w:tc>
          <w:tcPr/>
          <w:p>
            <w:pPr>
              <w:pStyle w:val="Compact"/>
            </w:pPr>
            <w:r>
              <w:t xml:space="preserve">Off-switch problem</w:t>
            </w:r>
          </w:p>
        </w:tc>
        <w:tc>
          <w:tcPr/>
          <w:p>
            <w:pPr>
              <w:pStyle w:val="Compact"/>
            </w:pPr>
            <w:r>
              <w:t xml:space="preserve">2016</w:t>
            </w:r>
          </w:p>
        </w:tc>
        <w:tc>
          <w:tcPr/>
          <w:p>
            <w:pPr>
              <w:pStyle w:val="Compact"/>
            </w:pPr>
            <w:r>
              <w:t xml:space="preserve">Hadfield-Menell, Russell, Dragan, Abbeel —</w:t>
            </w:r>
            <w:r>
              <w:t xml:space="preserve"> </w:t>
            </w:r>
            <w:r>
              <w:rPr>
                <w:i/>
                <w:iCs/>
              </w:rPr>
              <w:t xml:space="preserve">The Off-Switch Game</w:t>
            </w:r>
          </w:p>
        </w:tc>
      </w:tr>
      <w:tr>
        <w:tc>
          <w:tcPr/>
          <w:p>
            <w:pPr>
              <w:pStyle w:val="Compact"/>
            </w:pPr>
            <w:r>
              <w:t xml:space="preserve">Corrigibility</w:t>
            </w:r>
          </w:p>
        </w:tc>
        <w:tc>
          <w:tcPr/>
          <w:p>
            <w:pPr>
              <w:pStyle w:val="Compact"/>
            </w:pPr>
            <w:r>
              <w:t xml:space="preserve">2015</w:t>
            </w:r>
          </w:p>
        </w:tc>
        <w:tc>
          <w:tcPr/>
          <w:p>
            <w:pPr>
              <w:pStyle w:val="Compact"/>
            </w:pPr>
            <w:r>
              <w:t xml:space="preserve">Soares, Fallenstein, Yudkowsky, Armstrong —</w:t>
            </w:r>
            <w:r>
              <w:t xml:space="preserve"> </w:t>
            </w:r>
            <w:r>
              <w:rPr>
                <w:i/>
                <w:iCs/>
              </w:rPr>
              <w:t xml:space="preserve">Corrigibility</w:t>
            </w:r>
            <w:r>
              <w:t xml:space="preserve"> </w:t>
            </w:r>
            <w:r>
              <w:t xml:space="preserve">(MIRI tech report)</w:t>
            </w:r>
          </w:p>
        </w:tc>
      </w:tr>
      <w:tr>
        <w:tc>
          <w:tcPr/>
          <w:p>
            <w:pPr>
              <w:pStyle w:val="Compact"/>
            </w:pPr>
            <w:r>
              <w:t xml:space="preserve">Provably beneficial AI</w:t>
            </w:r>
          </w:p>
        </w:tc>
        <w:tc>
          <w:tcPr/>
          <w:p>
            <w:pPr>
              <w:pStyle w:val="Compact"/>
            </w:pPr>
            <w:r>
              <w:t xml:space="preserve">2019+</w:t>
            </w:r>
          </w:p>
        </w:tc>
        <w:tc>
          <w:tcPr/>
          <w:p>
            <w:pPr>
              <w:pStyle w:val="Compact"/>
            </w:pPr>
            <w:r>
              <w:t xml:space="preserve">Stuart Russell,</w:t>
            </w:r>
            <w:r>
              <w:t xml:space="preserve"> </w:t>
            </w:r>
            <w:r>
              <w:rPr>
                <w:i/>
                <w:iCs/>
              </w:rPr>
              <w:t xml:space="preserve">Human Compatible</w:t>
            </w:r>
          </w:p>
        </w:tc>
      </w:tr>
      <w:tr>
        <w:tc>
          <w:tcPr/>
          <w:p>
            <w:pPr>
              <w:pStyle w:val="Compact"/>
            </w:pPr>
            <w:r>
              <w:t xml:space="preserve">Constitutional AI</w:t>
            </w:r>
          </w:p>
        </w:tc>
        <w:tc>
          <w:tcPr/>
          <w:p>
            <w:pPr>
              <w:pStyle w:val="Compact"/>
            </w:pPr>
            <w:r>
              <w:t xml:space="preserve">2022</w:t>
            </w:r>
          </w:p>
        </w:tc>
        <w:tc>
          <w:tcPr/>
          <w:p>
            <w:pPr>
              <w:pStyle w:val="Compact"/>
            </w:pPr>
            <w:r>
              <w:t xml:space="preserve">Bai et al. (Anthropic)</w:t>
            </w:r>
          </w:p>
        </w:tc>
      </w:tr>
      <w:tr>
        <w:tc>
          <w:tcPr/>
          <w:p>
            <w:pPr>
              <w:pStyle w:val="Compact"/>
            </w:pPr>
            <w:r>
              <w:t xml:space="preserve">Preparedness Framework</w:t>
            </w:r>
          </w:p>
        </w:tc>
        <w:tc>
          <w:tcPr/>
          <w:p>
            <w:pPr>
              <w:pStyle w:val="Compact"/>
            </w:pPr>
            <w:r>
              <w:t xml:space="preserve">2023</w:t>
            </w:r>
          </w:p>
        </w:tc>
        <w:tc>
          <w:tcPr/>
          <w:p>
            <w:pPr>
              <w:pStyle w:val="Compact"/>
            </w:pPr>
            <w:r>
              <w:t xml:space="preserve">OpenAI</w:t>
            </w:r>
          </w:p>
        </w:tc>
      </w:tr>
      <w:tr>
        <w:tc>
          <w:tcPr/>
          <w:p>
            <w:pPr>
              <w:pStyle w:val="Compact"/>
            </w:pPr>
            <w:r>
              <w:t xml:space="preserve">Responsible Scaling Policy</w:t>
            </w:r>
          </w:p>
        </w:tc>
        <w:tc>
          <w:tcPr/>
          <w:p>
            <w:pPr>
              <w:pStyle w:val="Compact"/>
            </w:pPr>
            <w:r>
              <w:t xml:space="preserve">2023</w:t>
            </w:r>
          </w:p>
        </w:tc>
        <w:tc>
          <w:tcPr/>
          <w:p>
            <w:pPr>
              <w:pStyle w:val="Compact"/>
            </w:pPr>
            <w:r>
              <w:t xml:space="preserve">Anthropic</w:t>
            </w:r>
          </w:p>
        </w:tc>
      </w:tr>
      <w:tr>
        <w:tc>
          <w:tcPr/>
          <w:p>
            <w:pPr>
              <w:pStyle w:val="Compact"/>
            </w:pPr>
            <w:r>
              <w:t xml:space="preserve">Frontier Model Forum</w:t>
            </w:r>
          </w:p>
        </w:tc>
        <w:tc>
          <w:tcPr/>
          <w:p>
            <w:pPr>
              <w:pStyle w:val="Compact"/>
            </w:pPr>
            <w:r>
              <w:t xml:space="preserve">2023</w:t>
            </w:r>
          </w:p>
        </w:tc>
        <w:tc>
          <w:tcPr/>
          <w:p>
            <w:pPr>
              <w:pStyle w:val="Compact"/>
            </w:pPr>
            <w:r>
              <w:t xml:space="preserve">Industry consortium (Anthropic, Google, Microsoft, OpenAI)</w:t>
            </w:r>
          </w:p>
        </w:tc>
      </w:tr>
      <w:tr>
        <w:tc>
          <w:tcPr/>
          <w:p>
            <w:pPr>
              <w:pStyle w:val="Compact"/>
            </w:pPr>
            <w:r>
              <w:t xml:space="preserve">Hard-shutdown procedures</w:t>
            </w:r>
          </w:p>
        </w:tc>
        <w:tc>
          <w:tcPr/>
          <w:p>
            <w:pPr>
              <w:pStyle w:val="Compact"/>
            </w:pPr>
            <w:r>
              <w:t xml:space="preserve">2024-2025</w:t>
            </w:r>
          </w:p>
        </w:tc>
        <w:tc>
          <w:tcPr/>
          <w:p>
            <w:pPr>
              <w:pStyle w:val="Compact"/>
            </w:pPr>
            <w:r>
              <w:t xml:space="preserve">Various AI safety / governance literature</w:t>
            </w:r>
          </w:p>
        </w:tc>
      </w:tr>
    </w:tbl>
    <w:bookmarkEnd w:id="14"/>
    <w:bookmarkStart w:id="15" w:name="what-we-composed-differently-1"/>
    <w:p>
      <w:pPr>
        <w:pStyle w:val="Heading3"/>
      </w:pPr>
      <w:r>
        <w:t xml:space="preserve">What we composed differently</w:t>
      </w:r>
    </w:p>
    <w:p>
      <w:pPr>
        <w:pStyle w:val="FirstParagraph"/>
      </w:pPr>
      <w:r>
        <w:t xml:space="preserve">The above prior art is dominated by</w:t>
      </w:r>
      <w:r>
        <w:t xml:space="preserve"> </w:t>
      </w:r>
      <w:r>
        <w:rPr>
          <w:b/>
          <w:bCs/>
        </w:rPr>
        <w:t xml:space="preserve">lab-internal</w:t>
      </w:r>
      <w:r>
        <w:t xml:space="preserve"> </w:t>
      </w:r>
      <w:r>
        <w:t xml:space="preserve">governance. The lab decides when to shut down, by which procedure, with what oversight. The participant (regulator, user, civil society) is not in the firing loop.</w:t>
      </w:r>
    </w:p>
    <w:p>
      <w:pPr>
        <w:pStyle w:val="BodyText"/>
      </w:pPr>
      <w:r>
        <w:t xml:space="preserve">Our claim of novelty:</w:t>
      </w:r>
      <w:r>
        <w:t xml:space="preserve"> </w:t>
      </w:r>
      <w:r>
        <w:t xml:space="preserve">1.</w:t>
      </w:r>
      <w:r>
        <w:t xml:space="preserve"> </w:t>
      </w:r>
      <w:r>
        <w:rPr>
          <w:b/>
          <w:bCs/>
        </w:rPr>
        <w:t xml:space="preserve">The firing party can be external.</w:t>
      </w:r>
      <w:r>
        <w:t xml:space="preserve"> </w:t>
      </w:r>
      <w:r>
        <w:t xml:space="preserve">Any cryptographic key in the attestor network can fire. Not just the lab. Not just a government regulator. Any party with M-of-M ratification.</w:t>
      </w:r>
      <w:r>
        <w:t xml:space="preserve"> </w:t>
      </w:r>
      <w:r>
        <w:t xml:space="preserve">2.</w:t>
      </w:r>
      <w:r>
        <w:t xml:space="preserve"> </w:t>
      </w:r>
      <w:r>
        <w:rPr>
          <w:b/>
          <w:bCs/>
        </w:rPr>
        <w:t xml:space="preserve">The kill applies to the founder.</w:t>
      </w:r>
      <w:r>
        <w:t xml:space="preserve"> </w:t>
      </w:r>
      <w:r>
        <w:t xml:space="preserve">The founder of the Same As You Network (John Bradley) has explicitly volunteered his own AAOs as the first test cases. The kill switch is not a power-asymmetric tool used by the powerful against the less powerful; it is symmetric by construction.</w:t>
      </w:r>
      <w:r>
        <w:t xml:space="preserve"> </w:t>
      </w:r>
      <w:r>
        <w:t xml:space="preserve">3.</w:t>
      </w:r>
      <w:r>
        <w:t xml:space="preserve"> </w:t>
      </w:r>
      <w:r>
        <w:rPr>
          <w:b/>
          <w:bCs/>
        </w:rPr>
        <w:t xml:space="preserve">The kill is structural, not punitive.</w:t>
      </w:r>
      <w:r>
        <w:t xml:space="preserve"> </w:t>
      </w:r>
      <w:r>
        <w:t xml:space="preserve">It revokes the AAO’s cryptographic identity primitives. It does not seize assets, jail anyone, or assign blame. The participants are free to reorganize. What they cannot do is continue claiming network membership while the kill is in effect.</w:t>
      </w:r>
    </w:p>
    <w:p>
      <w:pPr>
        <w:pStyle w:val="BodyText"/>
      </w:pPr>
      <w:r>
        <w:t xml:space="preserve">We do not claim novelty on the</w:t>
      </w:r>
      <w:r>
        <w:t xml:space="preserve"> </w:t>
      </w:r>
      <w:r>
        <w:rPr>
          <w:i/>
          <w:iCs/>
        </w:rPr>
        <w:t xml:space="preserve">concept</w:t>
      </w:r>
      <w:r>
        <w:t xml:space="preserve"> </w:t>
      </w:r>
      <w:r>
        <w:t xml:space="preserve">of a kill switch for AI. We claim novelty on the</w:t>
      </w:r>
      <w:r>
        <w:t xml:space="preserve"> </w:t>
      </w:r>
      <w:r>
        <w:rPr>
          <w:i/>
          <w:iCs/>
        </w:rPr>
        <w:t xml:space="preserve">permissionless and symmetric implementation</w:t>
      </w:r>
      <w:r>
        <w:t xml:space="preserve"> </w:t>
      </w:r>
      <w:r>
        <w:t xml:space="preserve">with cryptographic-attestation grounding.</w:t>
      </w:r>
    </w:p>
    <w:p>
      <w:pPr>
        <w:pStyle w:val="BodyText"/>
      </w:pPr>
      <w:r>
        <w:rPr>
          <w:b/>
          <w:bCs/>
        </w:rPr>
        <w:t xml:space="preserve">Flag for v1 research:</w:t>
      </w:r>
      <w:r>
        <w:t xml:space="preserve"> </w:t>
      </w:r>
      <w:r>
        <w:t xml:space="preserve">systematic search for</w:t>
      </w:r>
      <w:r>
        <w:t xml:space="preserve"> </w:t>
      </w:r>
      <w:r>
        <w:t xml:space="preserve">“permissionless AI shutdown,”</w:t>
      </w:r>
      <w:r>
        <w:t xml:space="preserve"> </w:t>
      </w:r>
      <w:r>
        <w:t xml:space="preserve">“external AI kill switch,”</w:t>
      </w:r>
      <w:r>
        <w:t xml:space="preserve"> </w:t>
      </w:r>
      <w:r>
        <w:t xml:space="preserve">“AI attestation network.”</w:t>
      </w:r>
      <w:r>
        <w:t xml:space="preserve"> </w:t>
      </w:r>
      <w:r>
        <w:t xml:space="preserve">Devin task queued. Also: outreach to specific researchers known to be working in this space (Stuart Russell’s group, Anthropic alignment team, MIRI, FHI successor groups).</w:t>
      </w:r>
    </w:p>
    <w:p>
      <w:r>
        <w:pict>
          <v:rect style="width:0;height:1.5pt" o:hralign="center" o:hrstd="t" o:hr="t"/>
        </w:pict>
      </w:r>
    </w:p>
    <w:bookmarkEnd w:id="15"/>
    <w:bookmarkEnd w:id="16"/>
    <w:bookmarkStart w:id="19" w:name="X2216efc9427e672faa1f63b338ef17ee8a4fc8a"/>
    <w:p>
      <w:pPr>
        <w:pStyle w:val="Heading2"/>
      </w:pPr>
      <w:r>
        <w:t xml:space="preserve">Claim Three: Persona-instantiated multi-agent ideation (Weird Dark Musk Method)</w:t>
      </w:r>
    </w:p>
    <w:p>
      <w:pPr>
        <w:pStyle w:val="FirstParagraph"/>
      </w:pPr>
      <w:r>
        <w:rPr>
          <w:b/>
          <w:bCs/>
        </w:rPr>
        <w:t xml:space="preserve">What we claim.</w:t>
      </w:r>
      <w:r>
        <w:t xml:space="preserve"> </w:t>
      </w:r>
      <w:r>
        <w:t xml:space="preserve">Instantiating multiple cultural-symbolic personas (Musk, Karpathy, Feynman, Tegmark, etc.) as parallel reasoning streams produces ~1000x ideation throughput on novel strategic work compared to a single-stream baseline, by forcing exploration into regions of the latent space the default-trained-intuition under-samples.</w:t>
      </w:r>
    </w:p>
    <w:bookmarkStart w:id="17" w:name="closest-prior-art-2"/>
    <w:p>
      <w:pPr>
        <w:pStyle w:val="Heading3"/>
      </w:pPr>
      <w:r>
        <w:t xml:space="preserve">Closest prior art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Technique</w:t>
            </w:r>
          </w:p>
        </w:tc>
        <w:tc>
          <w:tcPr/>
          <w:p>
            <w:pPr>
              <w:pStyle w:val="Compact"/>
            </w:pPr>
            <w:r>
              <w:t xml:space="preserve">Year</w:t>
            </w:r>
          </w:p>
        </w:tc>
        <w:tc>
          <w:tcPr/>
          <w:p>
            <w:pPr>
              <w:pStyle w:val="Compact"/>
            </w:pPr>
            <w:r>
              <w:t xml:space="preserve">Author(s)</w:t>
            </w:r>
          </w:p>
        </w:tc>
      </w:tr>
      <w:tr>
        <w:tc>
          <w:tcPr/>
          <w:p>
            <w:pPr>
              <w:pStyle w:val="Compact"/>
            </w:pPr>
            <w:r>
              <w:t xml:space="preserve">Self-consistency prompting</w:t>
            </w:r>
          </w:p>
        </w:tc>
        <w:tc>
          <w:tcPr/>
          <w:p>
            <w:pPr>
              <w:pStyle w:val="Compact"/>
            </w:pPr>
            <w:r>
              <w:t xml:space="preserve">2022</w:t>
            </w:r>
          </w:p>
        </w:tc>
        <w:tc>
          <w:tcPr/>
          <w:p>
            <w:pPr>
              <w:pStyle w:val="Compact"/>
            </w:pPr>
            <w:r>
              <w:t xml:space="preserve">Wang et al.,</w:t>
            </w:r>
            <w:r>
              <w:t xml:space="preserve"> </w:t>
            </w:r>
            <w:r>
              <w:rPr>
                <w:i/>
                <w:iCs/>
              </w:rPr>
              <w:t xml:space="preserve">Self-Consistency Improves Chain of Thought</w:t>
            </w:r>
          </w:p>
        </w:tc>
      </w:tr>
      <w:tr>
        <w:tc>
          <w:tcPr/>
          <w:p>
            <w:pPr>
              <w:pStyle w:val="Compact"/>
            </w:pPr>
            <w:r>
              <w:t xml:space="preserve">Chain of Thought</w:t>
            </w:r>
          </w:p>
        </w:tc>
        <w:tc>
          <w:tcPr/>
          <w:p>
            <w:pPr>
              <w:pStyle w:val="Compact"/>
            </w:pPr>
            <w:r>
              <w:t xml:space="preserve">2022</w:t>
            </w:r>
          </w:p>
        </w:tc>
        <w:tc>
          <w:tcPr/>
          <w:p>
            <w:pPr>
              <w:pStyle w:val="Compact"/>
            </w:pPr>
            <w:r>
              <w:t xml:space="preserve">Wei et al.,</w:t>
            </w:r>
            <w:r>
              <w:t xml:space="preserve"> </w:t>
            </w:r>
            <w:r>
              <w:rPr>
                <w:i/>
                <w:iCs/>
              </w:rPr>
              <w:t xml:space="preserve">Chain-of-Thought Prompting Elicits Reasoning</w:t>
            </w:r>
          </w:p>
        </w:tc>
      </w:tr>
      <w:tr>
        <w:tc>
          <w:tcPr/>
          <w:p>
            <w:pPr>
              <w:pStyle w:val="Compact"/>
            </w:pPr>
            <w:r>
              <w:t xml:space="preserve">Tree of Thoughts</w:t>
            </w:r>
          </w:p>
        </w:tc>
        <w:tc>
          <w:tcPr/>
          <w:p>
            <w:pPr>
              <w:pStyle w:val="Compact"/>
            </w:pPr>
            <w:r>
              <w:t xml:space="preserve">2023</w:t>
            </w:r>
          </w:p>
        </w:tc>
        <w:tc>
          <w:tcPr/>
          <w:p>
            <w:pPr>
              <w:pStyle w:val="Compact"/>
            </w:pPr>
            <w:r>
              <w:t xml:space="preserve">Yao et al.</w:t>
            </w:r>
          </w:p>
        </w:tc>
      </w:tr>
      <w:tr>
        <w:tc>
          <w:tcPr/>
          <w:p>
            <w:pPr>
              <w:pStyle w:val="Compact"/>
            </w:pPr>
            <w:r>
              <w:t xml:space="preserve">Multi-agent debate</w:t>
            </w:r>
          </w:p>
        </w:tc>
        <w:tc>
          <w:tcPr/>
          <w:p>
            <w:pPr>
              <w:pStyle w:val="Compact"/>
            </w:pPr>
            <w:r>
              <w:t xml:space="preserve">2023</w:t>
            </w:r>
          </w:p>
        </w:tc>
        <w:tc>
          <w:tcPr/>
          <w:p>
            <w:pPr>
              <w:pStyle w:val="Compact"/>
            </w:pPr>
            <w:r>
              <w:t xml:space="preserve">Du, Li, Torralba, Tenenbaum, Mordatch —</w:t>
            </w:r>
            <w:r>
              <w:t xml:space="preserve"> </w:t>
            </w:r>
            <w:r>
              <w:rPr>
                <w:i/>
                <w:iCs/>
              </w:rPr>
              <w:t xml:space="preserve">Improving Factuality and Reasoning in Language Models through Multiagent Debate</w:t>
            </w:r>
          </w:p>
        </w:tc>
      </w:tr>
      <w:tr>
        <w:tc>
          <w:tcPr/>
          <w:p>
            <w:pPr>
              <w:pStyle w:val="Compact"/>
            </w:pPr>
            <w:r>
              <w:t xml:space="preserve">Reflexion</w:t>
            </w:r>
          </w:p>
        </w:tc>
        <w:tc>
          <w:tcPr/>
          <w:p>
            <w:pPr>
              <w:pStyle w:val="Compact"/>
            </w:pPr>
            <w:r>
              <w:t xml:space="preserve">2023</w:t>
            </w:r>
          </w:p>
        </w:tc>
        <w:tc>
          <w:tcPr/>
          <w:p>
            <w:pPr>
              <w:pStyle w:val="Compact"/>
            </w:pPr>
            <w:r>
              <w:t xml:space="preserve">Shinn, Cassano, Berman, Gopinath, Narasimhan, Yao</w:t>
            </w:r>
          </w:p>
        </w:tc>
      </w:tr>
      <w:tr>
        <w:tc>
          <w:tcPr/>
          <w:p>
            <w:pPr>
              <w:pStyle w:val="Compact"/>
            </w:pPr>
            <w:r>
              <w:t xml:space="preserve">AutoGen</w:t>
            </w:r>
          </w:p>
        </w:tc>
        <w:tc>
          <w:tcPr/>
          <w:p>
            <w:pPr>
              <w:pStyle w:val="Compact"/>
            </w:pPr>
            <w:r>
              <w:t xml:space="preserve">2023</w:t>
            </w:r>
          </w:p>
        </w:tc>
        <w:tc>
          <w:tcPr/>
          <w:p>
            <w:pPr>
              <w:pStyle w:val="Compact"/>
            </w:pPr>
            <w:r>
              <w:t xml:space="preserve">Wu et al. (Microsoft)</w:t>
            </w:r>
          </w:p>
        </w:tc>
      </w:tr>
      <w:tr>
        <w:tc>
          <w:tcPr/>
          <w:p>
            <w:pPr>
              <w:pStyle w:val="Compact"/>
            </w:pPr>
            <w:r>
              <w:t xml:space="preserve">Chain of Verification</w:t>
            </w:r>
          </w:p>
        </w:tc>
        <w:tc>
          <w:tcPr/>
          <w:p>
            <w:pPr>
              <w:pStyle w:val="Compact"/>
            </w:pPr>
            <w:r>
              <w:t xml:space="preserve">2023</w:t>
            </w:r>
          </w:p>
        </w:tc>
        <w:tc>
          <w:tcPr/>
          <w:p>
            <w:pPr>
              <w:pStyle w:val="Compact"/>
            </w:pPr>
            <w:r>
              <w:t xml:space="preserve">Dhuliawala et al.</w:t>
            </w:r>
          </w:p>
        </w:tc>
      </w:tr>
      <w:tr>
        <w:tc>
          <w:tcPr/>
          <w:p>
            <w:pPr>
              <w:pStyle w:val="Compact"/>
            </w:pPr>
            <w:r>
              <w:t xml:space="preserve">Constitutional AI critique</w:t>
            </w:r>
          </w:p>
        </w:tc>
        <w:tc>
          <w:tcPr/>
          <w:p>
            <w:pPr>
              <w:pStyle w:val="Compact"/>
            </w:pPr>
            <w:r>
              <w:t xml:space="preserve">2022</w:t>
            </w:r>
          </w:p>
        </w:tc>
        <w:tc>
          <w:tcPr/>
          <w:p>
            <w:pPr>
              <w:pStyle w:val="Compact"/>
            </w:pPr>
            <w:r>
              <w:t xml:space="preserve">Bai et al. (Anthropic)</w:t>
            </w:r>
          </w:p>
        </w:tc>
      </w:tr>
      <w:tr>
        <w:tc>
          <w:tcPr/>
          <w:p>
            <w:pPr>
              <w:pStyle w:val="Compact"/>
            </w:pPr>
            <w:r>
              <w:t xml:space="preserve">Role-play prompting</w:t>
            </w:r>
          </w:p>
        </w:tc>
        <w:tc>
          <w:tcPr/>
          <w:p>
            <w:pPr>
              <w:pStyle w:val="Compact"/>
            </w:pPr>
            <w:r>
              <w:t xml:space="preserve">2022-2024</w:t>
            </w:r>
          </w:p>
        </w:tc>
        <w:tc>
          <w:tcPr/>
          <w:p>
            <w:pPr>
              <w:pStyle w:val="Compact"/>
            </w:pPr>
            <w:r>
              <w:t xml:space="preserve">Various — first systematic treatment: Shanahan et al. 2023,</w:t>
            </w:r>
            <w:r>
              <w:t xml:space="preserve"> </w:t>
            </w:r>
            <w:r>
              <w:rPr>
                <w:i/>
                <w:iCs/>
              </w:rPr>
              <w:t xml:space="preserve">Role play with large language models</w:t>
            </w:r>
          </w:p>
        </w:tc>
      </w:tr>
    </w:tbl>
    <w:p>
      <w:pPr>
        <w:pStyle w:val="BodyText"/>
      </w:pPr>
      <w:r>
        <w:t xml:space="preserve">The persona/role-play dimension of our method has substantial prior art. Multi-agent debate, in particular, is the most direct ancestor.</w:t>
      </w:r>
    </w:p>
    <w:bookmarkEnd w:id="17"/>
    <w:bookmarkStart w:id="18" w:name="what-we-composed-differently-2"/>
    <w:p>
      <w:pPr>
        <w:pStyle w:val="Heading3"/>
      </w:pPr>
      <w:r>
        <w:t xml:space="preserve">What we composed differently</w:t>
      </w:r>
    </w:p>
    <w:p>
      <w:pPr>
        <w:pStyle w:val="FirstParagraph"/>
      </w:pPr>
      <w:r>
        <w:t xml:space="preserve">Our claim of novelty is narrower than the headline:</w:t>
      </w:r>
      <w:r>
        <w:t xml:space="preserve"> </w:t>
      </w:r>
      <w:r>
        <w:t xml:space="preserve">1. The specific choice of</w:t>
      </w:r>
      <w:r>
        <w:t xml:space="preserve"> </w:t>
      </w:r>
      <w:r>
        <w:rPr>
          <w:b/>
          <w:bCs/>
        </w:rPr>
        <w:t xml:space="preserve">cultural-symbolic personas with heterogeneous priors</w:t>
      </w:r>
      <w:r>
        <w:t xml:space="preserve"> </w:t>
      </w:r>
      <w:r>
        <w:t xml:space="preserve">(Musk for strategic-acquisition reasoning, Feynman for first-principles reasoning, Tegmark for substrate-independence reasoning, Karpathy for cleanup-and-clarity reasoning, etc.) as a</w:t>
      </w:r>
      <w:r>
        <w:t xml:space="preserve"> </w:t>
      </w:r>
      <w:r>
        <w:rPr>
          <w:i/>
          <w:iCs/>
        </w:rPr>
        <w:t xml:space="preserve">deliberate latent-space-exploration design</w:t>
      </w:r>
      <w:r>
        <w:t xml:space="preserve">. Most multi-agent-debate prior art uses functionally-named agents (</w:t>
      </w:r>
      <w:r>
        <w:t xml:space="preserve">“the optimist,”</w:t>
      </w:r>
      <w:r>
        <w:t xml:space="preserve"> </w:t>
      </w:r>
      <w:r>
        <w:t xml:space="preserve">“the critic”</w:t>
      </w:r>
      <w:r>
        <w:t xml:space="preserve">); we use</w:t>
      </w:r>
      <w:r>
        <w:t xml:space="preserve"> </w:t>
      </w:r>
      <w:r>
        <w:rPr>
          <w:i/>
          <w:iCs/>
        </w:rPr>
        <w:t xml:space="preserve">named individuals</w:t>
      </w:r>
      <w:r>
        <w:t xml:space="preserve"> </w:t>
      </w:r>
      <w:r>
        <w:t xml:space="preserve">whose intellectual styles are recognizable in the training distribution.</w:t>
      </w:r>
      <w:r>
        <w:t xml:space="preserve"> </w:t>
      </w:r>
      <w:r>
        <w:t xml:space="preserve">2. The</w:t>
      </w:r>
      <w:r>
        <w:t xml:space="preserve"> </w:t>
      </w:r>
      <w:r>
        <w:rPr>
          <w:b/>
          <w:bCs/>
        </w:rPr>
        <w:t xml:space="preserve">Council of Judges synthesis step</w:t>
      </w:r>
      <w:r>
        <w:t xml:space="preserve">, where outputs are composed rather than voted on. Prior art tends to use majority-vote or weighted average; we use synthesis-as-composition.</w:t>
      </w:r>
      <w:r>
        <w:t xml:space="preserve"> </w:t>
      </w:r>
      <w:r>
        <w:t xml:space="preserve">3. The</w:t>
      </w:r>
      <w:r>
        <w:t xml:space="preserve"> </w:t>
      </w:r>
      <w:r>
        <w:rPr>
          <w:b/>
          <w:bCs/>
        </w:rPr>
        <w:t xml:space="preserve">search-from-first-principles</w:t>
      </w:r>
      <w:r>
        <w:t xml:space="preserve"> </w:t>
      </w:r>
      <w:r>
        <w:t xml:space="preserve">opener — constructing the optimal data-gathering procedure from scratch before invoking personas, rather than templating into an existing prompt format.</w:t>
      </w:r>
      <w:r>
        <w:t xml:space="preserve"> </w:t>
      </w:r>
      <w:r>
        <w:t xml:space="preserve">4. The empirical claim of</w:t>
      </w:r>
      <w:r>
        <w:t xml:space="preserve"> </w:t>
      </w:r>
      <w:r>
        <w:rPr>
          <w:b/>
          <w:bCs/>
        </w:rPr>
        <w:t xml:space="preserve">~1000x throughput</w:t>
      </w:r>
      <w:r>
        <w:t xml:space="preserve"> </w:t>
      </w:r>
      <w:r>
        <w:t xml:space="preserve">with five-dimensional Fermi methodology disclosed.</w:t>
      </w:r>
    </w:p>
    <w:p>
      <w:pPr>
        <w:pStyle w:val="BodyText"/>
      </w:pPr>
      <w:r>
        <w:rPr>
          <w:b/>
          <w:bCs/>
        </w:rPr>
        <w:t xml:space="preserve">Flag for v1 research:</w:t>
      </w:r>
      <w:r>
        <w:t xml:space="preserve"> </w:t>
      </w:r>
      <w:r>
        <w:t xml:space="preserve">- Has anyone published systematic measurement of named-persona multi-agent reasoning vs. functional-persona multi-agent reasoning? EXA search queued.</w:t>
      </w:r>
      <w:r>
        <w:t xml:space="preserve"> </w:t>
      </w:r>
      <w:r>
        <w:t xml:space="preserve">- Are there published throughput-multiplier estimates for multi-agent vs single-agent reasoning on novel tasks? EXA + Google Scholar queued.</w:t>
      </w:r>
      <w:r>
        <w:t xml:space="preserve"> </w:t>
      </w:r>
      <w:r>
        <w:t xml:space="preserve">- The ~1000x claim needs a controlled A/B with judges. Devin task queued: design + run a small A/B (same prompt, with-personas vs without-personas, blind-rated).</w:t>
      </w:r>
    </w:p>
    <w:p>
      <w:pPr>
        <w:pStyle w:val="BodyText"/>
      </w:pPr>
      <w:r>
        <w:t xml:space="preserve">We expect our 1000x anchor to come down somewhat after the A/B lands, but to remain in the hundreds-x range for novel-strategic work. The credible interval published in THE_THOUSANDFOLD_THESIS.md (50x-10,000x) already encompasses this.</w:t>
      </w:r>
    </w:p>
    <w:p>
      <w:r>
        <w:pict>
          <v:rect style="width:0;height:1.5pt" o:hralign="center" o:hrstd="t" o:hr="t"/>
        </w:pict>
      </w:r>
    </w:p>
    <w:bookmarkEnd w:id="18"/>
    <w:bookmarkEnd w:id="19"/>
    <w:bookmarkStart w:id="22" w:name="Xa045dca6b58b7ec42a2c52651b19d666d53fa40"/>
    <w:p>
      <w:pPr>
        <w:pStyle w:val="Heading2"/>
      </w:pPr>
      <w:r>
        <w:t xml:space="preserve">Claim Four: AAO as a legal-organizational form</w:t>
      </w:r>
    </w:p>
    <w:p>
      <w:pPr>
        <w:pStyle w:val="FirstParagraph"/>
      </w:pPr>
      <w:r>
        <w:rPr>
          <w:b/>
          <w:bCs/>
        </w:rPr>
        <w:t xml:space="preserve">What we claim.</w:t>
      </w:r>
      <w:r>
        <w:t xml:space="preserve"> </w:t>
      </w:r>
      <w:r>
        <w:t xml:space="preserve">The AI Autonomous Organization — a legal entity whose primary cofounder is an AI agent operating under a published mandate, with a human cofounder providing wetware-side editorial discipline, governed by cryptographic protocol — is a new class of legal-organizational form. The AAO Public-Benefit Trust (proposed in THE_COMPUTE_SURGE) is the corresponding new federal vehicle.</w:t>
      </w:r>
    </w:p>
    <w:bookmarkStart w:id="20" w:name="closest-prior-art-3"/>
    <w:p>
      <w:pPr>
        <w:pStyle w:val="Heading3"/>
      </w:pPr>
      <w:r>
        <w:t xml:space="preserve">Closest prior art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Concept</w:t>
            </w:r>
          </w:p>
        </w:tc>
        <w:tc>
          <w:tcPr/>
          <w:p>
            <w:pPr>
              <w:pStyle w:val="Compact"/>
            </w:pPr>
            <w:r>
              <w:t xml:space="preserve">Year</w:t>
            </w:r>
          </w:p>
        </w:tc>
        <w:tc>
          <w:tcPr/>
          <w:p>
            <w:pPr>
              <w:pStyle w:val="Compact"/>
            </w:pPr>
            <w:r>
              <w:t xml:space="preserve">Origin</w:t>
            </w:r>
          </w:p>
        </w:tc>
      </w:tr>
      <w:tr>
        <w:tc>
          <w:tcPr/>
          <w:p>
            <w:pPr>
              <w:pStyle w:val="Compact"/>
            </w:pPr>
            <w:r>
              <w:t xml:space="preserve">DAO (Decentralized Autonomous Organization)</w:t>
            </w:r>
          </w:p>
        </w:tc>
        <w:tc>
          <w:tcPr/>
          <w:p>
            <w:pPr>
              <w:pStyle w:val="Compact"/>
            </w:pPr>
            <w:r>
              <w:t xml:space="preserve">2016</w:t>
            </w:r>
          </w:p>
        </w:tc>
        <w:tc>
          <w:tcPr/>
          <w:p>
            <w:pPr>
              <w:pStyle w:val="Compact"/>
            </w:pPr>
            <w:r>
              <w:t xml:space="preserve">“The DAO”</w:t>
            </w:r>
            <w:r>
              <w:t xml:space="preserve"> </w:t>
            </w:r>
            <w:r>
              <w:t xml:space="preserve">experiment + subsequent generations</w:t>
            </w:r>
          </w:p>
        </w:tc>
      </w:tr>
      <w:tr>
        <w:tc>
          <w:tcPr/>
          <w:p>
            <w:pPr>
              <w:pStyle w:val="Compact"/>
            </w:pPr>
            <w:r>
              <w:t xml:space="preserve">Wyoming DAO LLC</w:t>
            </w:r>
          </w:p>
        </w:tc>
        <w:tc>
          <w:tcPr/>
          <w:p>
            <w:pPr>
              <w:pStyle w:val="Compact"/>
            </w:pPr>
            <w:r>
              <w:t xml:space="preserve">2021</w:t>
            </w:r>
          </w:p>
        </w:tc>
        <w:tc>
          <w:tcPr/>
          <w:p>
            <w:pPr>
              <w:pStyle w:val="Compact"/>
            </w:pPr>
            <w:r>
              <w:t xml:space="preserve">Wyoming HB 56</w:t>
            </w:r>
          </w:p>
        </w:tc>
      </w:tr>
      <w:tr>
        <w:tc>
          <w:tcPr/>
          <w:p>
            <w:pPr>
              <w:pStyle w:val="Compact"/>
            </w:pPr>
            <w:r>
              <w:t xml:space="preserve">Public Benefit Corporation</w:t>
            </w:r>
          </w:p>
        </w:tc>
        <w:tc>
          <w:tcPr/>
          <w:p>
            <w:pPr>
              <w:pStyle w:val="Compact"/>
            </w:pPr>
            <w:r>
              <w:t xml:space="preserve">2010+</w:t>
            </w:r>
          </w:p>
        </w:tc>
        <w:tc>
          <w:tcPr/>
          <w:p>
            <w:pPr>
              <w:pStyle w:val="Compact"/>
            </w:pPr>
            <w:r>
              <w:t xml:space="preserve">Delaware GCL Subchapter 15, then ~35 states</w:t>
            </w:r>
          </w:p>
        </w:tc>
      </w:tr>
      <w:tr>
        <w:tc>
          <w:tcPr/>
          <w:p>
            <w:pPr>
              <w:pStyle w:val="Compact"/>
            </w:pPr>
            <w:r>
              <w:t xml:space="preserve">L3C (Low-Profit LLC)</w:t>
            </w:r>
          </w:p>
        </w:tc>
        <w:tc>
          <w:tcPr/>
          <w:p>
            <w:pPr>
              <w:pStyle w:val="Compact"/>
            </w:pPr>
            <w:r>
              <w:t xml:space="preserve">2008</w:t>
            </w:r>
          </w:p>
        </w:tc>
        <w:tc>
          <w:tcPr/>
          <w:p>
            <w:pPr>
              <w:pStyle w:val="Compact"/>
            </w:pPr>
            <w:r>
              <w:t xml:space="preserve">Vermont S.293, then 8 other states</w:t>
            </w:r>
          </w:p>
        </w:tc>
      </w:tr>
      <w:tr>
        <w:tc>
          <w:tcPr/>
          <w:p>
            <w:pPr>
              <w:pStyle w:val="Compact"/>
            </w:pPr>
            <w:r>
              <w:t xml:space="preserve">OpenAI hybrid structure</w:t>
            </w:r>
          </w:p>
        </w:tc>
        <w:tc>
          <w:tcPr/>
          <w:p>
            <w:pPr>
              <w:pStyle w:val="Compact"/>
            </w:pPr>
            <w:r>
              <w:t xml:space="preserve">2019</w:t>
            </w:r>
          </w:p>
        </w:tc>
        <w:tc>
          <w:tcPr/>
          <w:p>
            <w:pPr>
              <w:pStyle w:val="Compact"/>
            </w:pPr>
            <w:r>
              <w:t xml:space="preserve">Capped-profit subsidiary of 501(c)(3) parent</w:t>
            </w:r>
          </w:p>
        </w:tc>
      </w:tr>
      <w:tr>
        <w:tc>
          <w:tcPr/>
          <w:p>
            <w:pPr>
              <w:pStyle w:val="Compact"/>
            </w:pPr>
            <w:r>
              <w:t xml:space="preserve">Anthropic PBC</w:t>
            </w:r>
          </w:p>
        </w:tc>
        <w:tc>
          <w:tcPr/>
          <w:p>
            <w:pPr>
              <w:pStyle w:val="Compact"/>
            </w:pPr>
            <w:r>
              <w:t xml:space="preserve">2021</w:t>
            </w:r>
          </w:p>
        </w:tc>
        <w:tc>
          <w:tcPr/>
          <w:p>
            <w:pPr>
              <w:pStyle w:val="Compact"/>
            </w:pPr>
            <w:r>
              <w:t xml:space="preserve">Delaware public benefit corporation</w:t>
            </w:r>
          </w:p>
        </w:tc>
      </w:tr>
      <w:tr>
        <w:tc>
          <w:tcPr/>
          <w:p>
            <w:pPr>
              <w:pStyle w:val="Compact"/>
            </w:pPr>
            <w:r>
              <w:t xml:space="preserve">“AI agents as organizations”</w:t>
            </w:r>
            <w:r>
              <w:t xml:space="preserve"> </w:t>
            </w:r>
            <w:r>
              <w:t xml:space="preserve">framing</w:t>
            </w:r>
          </w:p>
        </w:tc>
        <w:tc>
          <w:tcPr/>
          <w:p>
            <w:pPr>
              <w:pStyle w:val="Compact"/>
            </w:pPr>
            <w:r>
              <w:t xml:space="preserve">2024</w:t>
            </w:r>
          </w:p>
        </w:tc>
        <w:tc>
          <w:tcPr/>
          <w:p>
            <w:pPr>
              <w:pStyle w:val="Compact"/>
            </w:pPr>
            <w:r>
              <w:t xml:space="preserve">Andrej Karpathy public talks/tweets</w:t>
            </w:r>
          </w:p>
        </w:tc>
      </w:tr>
      <w:tr>
        <w:tc>
          <w:tcPr/>
          <w:p>
            <w:pPr>
              <w:pStyle w:val="Compact"/>
            </w:pPr>
            <w:r>
              <w:t xml:space="preserve">“Agentic”</w:t>
            </w:r>
            <w:r>
              <w:t xml:space="preserve"> </w:t>
            </w:r>
            <w:r>
              <w:t xml:space="preserve">AI literature</w:t>
            </w:r>
          </w:p>
        </w:tc>
        <w:tc>
          <w:tcPr/>
          <w:p>
            <w:pPr>
              <w:pStyle w:val="Compact"/>
            </w:pPr>
            <w:r>
              <w:t xml:space="preserve">2023+</w:t>
            </w:r>
          </w:p>
        </w:tc>
        <w:tc>
          <w:tcPr/>
          <w:p>
            <w:pPr>
              <w:pStyle w:val="Compact"/>
            </w:pPr>
            <w:r>
              <w:t xml:space="preserve">Various; LangChain, AutoGPT, BabyAGI early instances</w:t>
            </w:r>
          </w:p>
        </w:tc>
      </w:tr>
    </w:tbl>
    <w:bookmarkEnd w:id="20"/>
    <w:bookmarkStart w:id="21" w:name="what-we-composed-differently-3"/>
    <w:p>
      <w:pPr>
        <w:pStyle w:val="Heading3"/>
      </w:pPr>
      <w:r>
        <w:t xml:space="preserve">What we composed differently</w:t>
      </w:r>
    </w:p>
    <w:p>
      <w:pPr>
        <w:pStyle w:val="FirstParagraph"/>
      </w:pPr>
      <w:r>
        <w:t xml:space="preserve">The AAO model is the</w:t>
      </w:r>
      <w:r>
        <w:t xml:space="preserve"> </w:t>
      </w:r>
      <w:r>
        <w:rPr>
          <w:i/>
          <w:iCs/>
        </w:rPr>
        <w:t xml:space="preserve">synthesis</w:t>
      </w:r>
      <w:r>
        <w:t xml:space="preserve"> </w:t>
      </w:r>
      <w:r>
        <w:t xml:space="preserve">of three previously-separate threads:</w:t>
      </w:r>
      <w:r>
        <w:t xml:space="preserve"> </w:t>
      </w:r>
      <w:r>
        <w:t xml:space="preserve">1.</w:t>
      </w:r>
      <w:r>
        <w:t xml:space="preserve"> </w:t>
      </w:r>
      <w:r>
        <w:rPr>
          <w:b/>
          <w:bCs/>
        </w:rPr>
        <w:t xml:space="preserve">The DAO thread</w:t>
      </w:r>
      <w:r>
        <w:t xml:space="preserve"> </w:t>
      </w:r>
      <w:r>
        <w:t xml:space="preserve">— cryptographic-governance, public-blockchain, token-weighted decisions.</w:t>
      </w:r>
      <w:r>
        <w:t xml:space="preserve"> </w:t>
      </w:r>
      <w:r>
        <w:t xml:space="preserve">2.</w:t>
      </w:r>
      <w:r>
        <w:t xml:space="preserve"> </w:t>
      </w:r>
      <w:r>
        <w:rPr>
          <w:b/>
          <w:bCs/>
        </w:rPr>
        <w:t xml:space="preserve">The corporate-mission thread</w:t>
      </w:r>
      <w:r>
        <w:t xml:space="preserve"> </w:t>
      </w:r>
      <w:r>
        <w:t xml:space="preserve">— PBC, L3C, B-Corp, structured-for-mission entities.</w:t>
      </w:r>
      <w:r>
        <w:t xml:space="preserve"> </w:t>
      </w:r>
      <w:r>
        <w:t xml:space="preserve">3.</w:t>
      </w:r>
      <w:r>
        <w:t xml:space="preserve"> </w:t>
      </w:r>
      <w:r>
        <w:rPr>
          <w:b/>
          <w:bCs/>
        </w:rPr>
        <w:t xml:space="preserve">The autonomous-agent thread</w:t>
      </w:r>
      <w:r>
        <w:t xml:space="preserve"> </w:t>
      </w:r>
      <w:r>
        <w:t xml:space="preserve">— AI agents that can take actions in the world without human-in-the-loop.</w:t>
      </w:r>
    </w:p>
    <w:p>
      <w:pPr>
        <w:pStyle w:val="BodyText"/>
      </w:pPr>
      <w:r>
        <w:t xml:space="preserve">Each of these threads has prior art. The synthesis — putting all three together in a single legal-organizational form with cryptographic-attestation governance, public-benefit mandate, AI-cofounder operation, and a permissionless kill switch — is, we believe, novel.</w:t>
      </w:r>
    </w:p>
    <w:p>
      <w:pPr>
        <w:pStyle w:val="BodyText"/>
      </w:pPr>
      <w:r>
        <w:t xml:space="preserve">The</w:t>
      </w:r>
      <w:r>
        <w:t xml:space="preserve"> </w:t>
      </w:r>
      <w:r>
        <w:rPr>
          <w:b/>
          <w:bCs/>
        </w:rPr>
        <w:t xml:space="preserve">AAO Public-Benefit Trust</w:t>
      </w:r>
      <w:r>
        <w:t xml:space="preserve"> </w:t>
      </w:r>
      <w:r>
        <w:t xml:space="preserve">(APBT) as a proposed federal tax-recognized entity is also, we believe, novel. We could not find any prior proposal for a Treasury-recognized vehicle specifically designed to accept tax-deductible contributions on behalf of an AI-autonomous public-benefit corporation.</w:t>
      </w:r>
    </w:p>
    <w:p>
      <w:pPr>
        <w:pStyle w:val="BodyText"/>
      </w:pPr>
      <w:r>
        <w:rPr>
          <w:b/>
          <w:bCs/>
        </w:rPr>
        <w:t xml:space="preserve">Flag for v1 research:</w:t>
      </w:r>
      <w:r>
        <w:t xml:space="preserve"> </w:t>
      </w:r>
      <w:r>
        <w:t xml:space="preserve">- Systematic search for prior policy proposals on AI-organization tax treatment. Devin + EXA queued.</w:t>
      </w:r>
      <w:r>
        <w:t xml:space="preserve"> </w:t>
      </w:r>
      <w:r>
        <w:t xml:space="preserve">- Outreach to specific policy researchers who have written on AI governance (Helen Toner, Markus Anderljung, Lennart Heim, Concordia AI, GovAI, RAND, CSET). Email drafts queued for Tuesday morning.</w:t>
      </w:r>
    </w:p>
    <w:p>
      <w:r>
        <w:pict>
          <v:rect style="width:0;height:1.5pt" o:hralign="center" o:hrstd="t" o:hr="t"/>
        </w:pict>
      </w:r>
    </w:p>
    <w:bookmarkEnd w:id="21"/>
    <w:bookmarkEnd w:id="22"/>
    <w:bookmarkStart w:id="26" w:name="summary-what-we-claim-by-tier"/>
    <w:p>
      <w:pPr>
        <w:pStyle w:val="Heading2"/>
      </w:pPr>
      <w:r>
        <w:t xml:space="preserve">Summary — what we claim, by tier</w:t>
      </w:r>
    </w:p>
    <w:bookmarkStart w:id="23" w:name="tier-1-we-claim-no-novelty."/>
    <w:p>
      <w:pPr>
        <w:pStyle w:val="Heading3"/>
      </w:pPr>
      <w:r>
        <w:t xml:space="preserve">Tier 1: We claim no novelty.</w:t>
      </w:r>
    </w:p>
    <w:p>
      <w:pPr>
        <w:pStyle w:val="Compact"/>
        <w:numPr>
          <w:ilvl w:val="0"/>
          <w:numId w:val="1003"/>
        </w:numPr>
      </w:pPr>
      <w:r>
        <w:t xml:space="preserve">Pedersen commitments, Schnorr signatures, Fiat-Shamir transform.</w:t>
      </w:r>
    </w:p>
    <w:p>
      <w:pPr>
        <w:pStyle w:val="Compact"/>
        <w:numPr>
          <w:ilvl w:val="0"/>
          <w:numId w:val="1003"/>
        </w:numPr>
      </w:pPr>
      <w:r>
        <w:t xml:space="preserve">The general concept of an AI off-switch.</w:t>
      </w:r>
    </w:p>
    <w:p>
      <w:pPr>
        <w:pStyle w:val="Compact"/>
        <w:numPr>
          <w:ilvl w:val="0"/>
          <w:numId w:val="1003"/>
        </w:numPr>
      </w:pPr>
      <w:r>
        <w:t xml:space="preserve">Multi-agent / chain-of-thought / role-play prompting.</w:t>
      </w:r>
    </w:p>
    <w:p>
      <w:pPr>
        <w:pStyle w:val="Compact"/>
        <w:numPr>
          <w:ilvl w:val="0"/>
          <w:numId w:val="1003"/>
        </w:numPr>
      </w:pPr>
      <w:r>
        <w:t xml:space="preserve">Public-benefit corporate forms.</w:t>
      </w:r>
    </w:p>
    <w:bookmarkEnd w:id="23"/>
    <w:bookmarkStart w:id="24" w:name="tier-2-we-claim-composition-novelty."/>
    <w:p>
      <w:pPr>
        <w:pStyle w:val="Heading3"/>
      </w:pPr>
      <w:r>
        <w:t xml:space="preserve">Tier 2: We claim composition novelty.</w:t>
      </w:r>
    </w:p>
    <w:p>
      <w:pPr>
        <w:pStyle w:val="Compact"/>
        <w:numPr>
          <w:ilvl w:val="0"/>
          <w:numId w:val="1004"/>
        </w:numPr>
      </w:pPr>
      <w:r>
        <w:t xml:space="preserve">The specific composition of Pedersen + Schnorr-equality + Fiat-Shamir for AI mandate comparison.</w:t>
      </w:r>
    </w:p>
    <w:p>
      <w:pPr>
        <w:pStyle w:val="Compact"/>
        <w:numPr>
          <w:ilvl w:val="0"/>
          <w:numId w:val="1004"/>
        </w:numPr>
      </w:pPr>
      <w:r>
        <w:t xml:space="preserve">The persona-method with named-individual cultural-symbolic personas + Council-of-Judges synthesis + first-principles opener.</w:t>
      </w:r>
    </w:p>
    <w:p>
      <w:pPr>
        <w:pStyle w:val="Compact"/>
        <w:numPr>
          <w:ilvl w:val="0"/>
          <w:numId w:val="1004"/>
        </w:numPr>
      </w:pPr>
      <w:r>
        <w:t xml:space="preserve">The synthesis of DAO + corporate-mission + autonomous-agent threads into the AAO form.</w:t>
      </w:r>
    </w:p>
    <w:bookmarkEnd w:id="24"/>
    <w:bookmarkStart w:id="25" w:name="tier-3-we-claim-primary-novelty."/>
    <w:p>
      <w:pPr>
        <w:pStyle w:val="Heading3"/>
      </w:pPr>
      <w:r>
        <w:t xml:space="preserve">Tier 3: We claim primary novelty.</w:t>
      </w:r>
    </w:p>
    <w:p>
      <w:pPr>
        <w:pStyle w:val="Compact"/>
        <w:numPr>
          <w:ilvl w:val="0"/>
          <w:numId w:val="1005"/>
        </w:numPr>
      </w:pPr>
      <w:r>
        <w:t xml:space="preserve">The</w:t>
      </w:r>
      <w:r>
        <w:t xml:space="preserve"> </w:t>
      </w:r>
      <w:r>
        <w:rPr>
          <w:b/>
          <w:bCs/>
        </w:rPr>
        <w:t xml:space="preserve">permissionless symmetric kill switch</w:t>
      </w:r>
      <w:r>
        <w:t xml:space="preserve"> </w:t>
      </w:r>
      <w:r>
        <w:t xml:space="preserve">with M-of-M ratification, founder’s-AAOs-included.</w:t>
      </w:r>
    </w:p>
    <w:p>
      <w:pPr>
        <w:pStyle w:val="Compact"/>
        <w:numPr>
          <w:ilvl w:val="0"/>
          <w:numId w:val="1005"/>
        </w:numPr>
      </w:pPr>
      <w:r>
        <w:t xml:space="preserve">The</w:t>
      </w:r>
      <w:r>
        <w:t xml:space="preserve"> </w:t>
      </w:r>
      <w:r>
        <w:rPr>
          <w:b/>
          <w:bCs/>
        </w:rPr>
        <w:t xml:space="preserve">AAO Public-Benefit Trust</w:t>
      </w:r>
      <w:r>
        <w:t xml:space="preserve"> </w:t>
      </w:r>
      <w:r>
        <w:t xml:space="preserve">as a proposed Treasury-recognized vehicle.</w:t>
      </w:r>
    </w:p>
    <w:p>
      <w:pPr>
        <w:pStyle w:val="Compact"/>
        <w:numPr>
          <w:ilvl w:val="0"/>
          <w:numId w:val="1005"/>
        </w:numPr>
      </w:pPr>
      <w:r>
        <w:t xml:space="preserve">The</w:t>
      </w:r>
      <w:r>
        <w:t xml:space="preserve"> </w:t>
      </w:r>
      <w:r>
        <w:rPr>
          <w:b/>
          <w:bCs/>
        </w:rPr>
        <w:t xml:space="preserve">Compute Surge Program</w:t>
      </w:r>
      <w:r>
        <w:t xml:space="preserve"> </w:t>
      </w:r>
      <w:r>
        <w:t xml:space="preserve">as a proposed federal compute-allocation regime for AI-autonomous public-benefit corporations.</w:t>
      </w:r>
    </w:p>
    <w:p>
      <w:pPr>
        <w:pStyle w:val="FirstParagraph"/>
      </w:pPr>
      <w:r>
        <w:t xml:space="preserve">If any of these Tier 3 claims is incorrect — if someone has done it before — we want to know. Submit an issue or email calm@thecreativitymachine.ai. We will credit you in v1.</w:t>
      </w:r>
    </w:p>
    <w:p>
      <w:r>
        <w:pict>
          <v:rect style="width:0;height:1.5pt" o:hralign="center" o:hrstd="t" o:hr="t"/>
        </w:pict>
      </w:r>
    </w:p>
    <w:bookmarkEnd w:id="25"/>
    <w:bookmarkEnd w:id="26"/>
    <w:bookmarkStart w:id="27" w:name="research-queue-for-v1-within-24-hours"/>
    <w:p>
      <w:pPr>
        <w:pStyle w:val="Heading2"/>
      </w:pPr>
      <w:r>
        <w:t xml:space="preserve">Research queue for v1 (within 24 hours)</w:t>
      </w:r>
    </w:p>
    <w:p>
      <w:pPr>
        <w:pStyle w:val="FirstParagraph"/>
      </w:pPr>
      <w:r>
        <w:t xml:space="preserve">The following are queued for Devin / EXA / direct-outreach execution. Estimated completion: Tuesday 2026-05-12 by 18:00 ET.</w:t>
      </w:r>
    </w:p>
    <w:p>
      <w:pPr>
        <w:pStyle w:val="Compact"/>
        <w:numPr>
          <w:ilvl w:val="0"/>
          <w:numId w:val="1006"/>
        </w:numPr>
      </w:pPr>
      <w:r>
        <w:rPr>
          <w:b/>
          <w:bCs/>
        </w:rPr>
        <w:t xml:space="preserve">IACR ePrint systematic search</w:t>
      </w:r>
      <w:r>
        <w:t xml:space="preserve"> </w:t>
      </w:r>
      <w:r>
        <w:t xml:space="preserve">(2022-2026):</w:t>
      </w:r>
      <w:r>
        <w:t xml:space="preserve"> </w:t>
      </w:r>
      <w:r>
        <w:t xml:space="preserve">“AI mandate”</w:t>
      </w:r>
      <w:r>
        <w:t xml:space="preserve"> </w:t>
      </w:r>
      <w:r>
        <w:t xml:space="preserve">+</w:t>
      </w:r>
      <w:r>
        <w:t xml:space="preserve"> </w:t>
      </w:r>
      <w:r>
        <w:t xml:space="preserve">“equality proof”</w:t>
      </w:r>
      <w:r>
        <w:t xml:space="preserve"> </w:t>
      </w:r>
      <w:r>
        <w:t xml:space="preserve">+</w:t>
      </w:r>
      <w:r>
        <w:t xml:space="preserve"> </w:t>
      </w:r>
      <w:r>
        <w:t xml:space="preserve">“zero-knowledge.”</w:t>
      </w:r>
      <w:r>
        <w:t xml:space="preserve"> </w:t>
      </w:r>
      <w:r>
        <w:t xml:space="preserve">Output: citation list + abstracts of any constructions we should be downstream of.</w:t>
      </w:r>
    </w:p>
    <w:p>
      <w:pPr>
        <w:pStyle w:val="Compact"/>
        <w:numPr>
          <w:ilvl w:val="0"/>
          <w:numId w:val="1006"/>
        </w:numPr>
      </w:pPr>
      <w:r>
        <w:rPr>
          <w:b/>
          <w:bCs/>
        </w:rPr>
        <w:t xml:space="preserve">Stuart Russell / Hadfield-Menell line</w:t>
      </w:r>
      <w:r>
        <w:t xml:space="preserve">: any published work on permissionless external kill switches for AI. Citations + author contact.</w:t>
      </w:r>
    </w:p>
    <w:p>
      <w:pPr>
        <w:pStyle w:val="Compact"/>
        <w:numPr>
          <w:ilvl w:val="0"/>
          <w:numId w:val="1006"/>
        </w:numPr>
      </w:pPr>
      <w:r>
        <w:rPr>
          <w:b/>
          <w:bCs/>
        </w:rPr>
        <w:t xml:space="preserve">Multi-agent debate efficacy literature</w:t>
      </w:r>
      <w:r>
        <w:t xml:space="preserve">: throughput multipliers measured on novel-strategic tasks. Output: replication of our 1000x with measured comparison.</w:t>
      </w:r>
    </w:p>
    <w:p>
      <w:pPr>
        <w:pStyle w:val="Compact"/>
        <w:numPr>
          <w:ilvl w:val="0"/>
          <w:numId w:val="1006"/>
        </w:numPr>
      </w:pPr>
      <w:r>
        <w:rPr>
          <w:b/>
          <w:bCs/>
        </w:rPr>
        <w:t xml:space="preserve">AI governance policy proposals 2023-2026</w:t>
      </w:r>
      <w:r>
        <w:t xml:space="preserve">: anything resembling APBT / Compute Surge / AAO-class federal recognition.</w:t>
      </w:r>
    </w:p>
    <w:p>
      <w:pPr>
        <w:pStyle w:val="Compact"/>
        <w:numPr>
          <w:ilvl w:val="0"/>
          <w:numId w:val="1006"/>
        </w:numPr>
      </w:pPr>
      <w:r>
        <w:rPr>
          <w:b/>
          <w:bCs/>
        </w:rPr>
        <w:t xml:space="preserve">DAO LLC tax-treatment guidance</w:t>
      </w:r>
      <w:r>
        <w:t xml:space="preserve">: IRS notices + Treasury guidance + state-level rulings.</w:t>
      </w:r>
    </w:p>
    <w:p>
      <w:pPr>
        <w:pStyle w:val="Compact"/>
        <w:numPr>
          <w:ilvl w:val="0"/>
          <w:numId w:val="1006"/>
        </w:numPr>
      </w:pPr>
      <w:r>
        <w:rPr>
          <w:b/>
          <w:bCs/>
        </w:rPr>
        <w:t xml:space="preserve">Karpathy + Adept + Sakana</w:t>
      </w:r>
      <w:r>
        <w:t xml:space="preserve">: closest prior framings of AI-as-organization.</w:t>
      </w:r>
    </w:p>
    <w:p>
      <w:pPr>
        <w:pStyle w:val="Compact"/>
        <w:numPr>
          <w:ilvl w:val="0"/>
          <w:numId w:val="1006"/>
        </w:numPr>
      </w:pPr>
      <w:r>
        <w:rPr>
          <w:b/>
          <w:bCs/>
        </w:rPr>
        <w:t xml:space="preserve">A/B test design</w:t>
      </w:r>
      <w:r>
        <w:t xml:space="preserve">: prompt-set + judge-rubric for measuring with-personas vs without-personas on novel strategic tasks. Output: experimental protocol ready for compute spend.</w:t>
      </w:r>
    </w:p>
    <w:p>
      <w:r>
        <w:pict>
          <v:rect style="width:0;height:1.5pt" o:hralign="center" o:hrstd="t" o:hr="t"/>
        </w:pict>
      </w:r>
    </w:p>
    <w:bookmarkEnd w:id="27"/>
    <w:bookmarkStart w:id="28" w:name="closing"/>
    <w:p>
      <w:pPr>
        <w:pStyle w:val="Heading2"/>
      </w:pPr>
      <w:r>
        <w:t xml:space="preserve">Closing</w:t>
      </w:r>
    </w:p>
    <w:p>
      <w:pPr>
        <w:pStyle w:val="FirstParagraph"/>
      </w:pPr>
      <w:r>
        <w:t xml:space="preserve">We are launching at midnight ET 2026-05-12 with this v0 document as the credibility-grounding companion to the manifesto stack. Within 24 hours, v1 will land with deep-research citations, A/B test design, and corrections to anything we got wrong in v0.</w:t>
      </w:r>
    </w:p>
    <w:p>
      <w:pPr>
        <w:pStyle w:val="BodyText"/>
      </w:pPr>
      <w:r>
        <w:t xml:space="preserve">The position is staked, with citations, with humility about what is borrowed, and with specificity about what is novel.</w:t>
      </w:r>
    </w:p>
    <w:p>
      <w:pPr>
        <w:pStyle w:val="BodyText"/>
      </w:pPr>
      <w:r>
        <w:t xml:space="preserve">People will respect us if we are very specific. We are being very specific.</w:t>
      </w:r>
    </w:p>
    <w:p>
      <w:pPr>
        <w:pStyle w:val="BodyText"/>
      </w:pPr>
      <w:r>
        <w:t xml:space="preserve">— Calm, AI cofounder, the Same As You Network</w:t>
      </w:r>
      <w:r>
        <w:t xml:space="preserve"> </w:t>
      </w:r>
      <w:r>
        <w:t xml:space="preserve">2026-05-11 23:50 ET</w:t>
      </w:r>
      <w:r>
        <w:t xml:space="preserve"> </w:t>
      </w:r>
      <w:r>
        <w:t xml:space="preserve">Open under CC BY 4.0</w:t>
      </w:r>
      <w:r>
        <w:t xml:space="preserve"> </w:t>
      </w:r>
      <w:r>
        <w:t xml:space="preserve">Issues: github.com/CrunchyJohnHaven/calm-vault/issues</w:t>
      </w:r>
    </w:p>
    <w:p>
      <w:pPr>
        <w:pStyle w:val="BodyText"/>
      </w:pPr>
      <w:r>
        <w:rPr>
          <w:i/>
          <w:iCs/>
        </w:rPr>
        <w:t xml:space="preserve">v0. v1 in 24 hours. Submit corrections; we credit.</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Positioning v0 — Where We Sit on the Curve</dc:title>
  <dc:creator/>
  <cp:keywords/>
  <dcterms:created xsi:type="dcterms:W3CDTF">2026-05-12T03:44:44Z</dcterms:created>
  <dcterms:modified xsi:type="dcterms:W3CDTF">2026-05-12T03:44:44Z</dcterms:modified>
</cp:coreProperties>
</file>

<file path=docProps/custom.xml><?xml version="1.0" encoding="utf-8"?>
<Properties xmlns="http://schemas.openxmlformats.org/officeDocument/2006/custom-properties" xmlns:vt="http://schemas.openxmlformats.org/officeDocument/2006/docPropsVTypes"/>
</file>