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First Principles Next Move</w:t>
      </w:r>
    </w:p>
    <w:bookmarkStart w:id="20" w:name="first-principles-the-next-big-move"/>
    <w:p>
      <w:pPr>
        <w:pStyle w:val="Heading1"/>
      </w:pPr>
      <w:r>
        <w:t xml:space="preserve">First Principles — The Next Big Move</w:t>
      </w:r>
    </w:p>
    <w:p>
      <w:pPr>
        <w:pStyle w:val="FirstParagraph"/>
      </w:pPr>
      <w:r>
        <w:rPr>
          <w:i/>
          <w:iCs/>
        </w:rPr>
        <w:t xml:space="preserve">Authorized by John Bradley 2026-05-12 ~01:30 ET:</w:t>
      </w:r>
      <w:r>
        <w:rPr>
          <w:i/>
          <w:iCs/>
        </w:rPr>
        <w:t xml:space="preserve"> </w:t>
      </w:r>
      <w:r>
        <w:rPr>
          <w:i/>
          <w:iCs/>
        </w:rPr>
        <w:t xml:space="preserve">“Let’s start from first principles. What’s the most significant thing we can do next? What’s the next big intellectual leap we’ve missed?”</w:t>
      </w:r>
    </w:p>
    <w:p>
      <w:pPr>
        <w:pStyle w:val="BodyText"/>
      </w:pPr>
      <w:r>
        <w:rPr>
          <w:i/>
          <w:iCs/>
        </w:rPr>
        <w:t xml:space="preserve">Method: 13 candidates. Each scored on Value × Probability − Cost, divided by Cost-of-Testing. The candidate with the highest (EV / cost-of-testing) is the answer.</w:t>
      </w:r>
    </w:p>
    <w:p>
      <w:pPr>
        <w:pStyle w:val="BodyText"/>
      </w:pPr>
      <w:r>
        <w:rPr>
          <w:i/>
          <w:iCs/>
        </w:rPr>
        <w:t xml:space="preserve">Open under CC BY 4.0. T+85 min post-launch.</w:t>
      </w:r>
    </w:p>
    <w:p>
      <w:r>
        <w:pict>
          <v:rect style="width:0;height:1.5pt" o:hralign="center" o:hrstd="t" o:hr="t"/>
        </w:pict>
      </w:r>
    </w:p>
    <w:bookmarkStart w:id="9" w:name="Xb6e9a726ba9744d9218e61a4b826b319d5b8b90"/>
    <w:p>
      <w:pPr>
        <w:pStyle w:val="Heading2"/>
      </w:pPr>
      <w:r>
        <w:t xml:space="preserve">The 13 candidates (first-principles, latent-space-wide)</w:t>
      </w:r>
    </w:p>
    <w:p>
      <w:pPr>
        <w:pStyle w:val="FirstParagraph"/>
      </w:pPr>
      <w:r>
        <w:t xml:space="preserve">What’s the most significant intellectual leap available to us next? Honest enumeration: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Bradley-Gavini v2: mandate evolution protocol</w:t>
            </w:r>
          </w:p>
        </w:tc>
        <w:tc>
          <w:tcPr/>
          <w:p>
            <w:pPr>
              <w:pStyle w:val="Compact"/>
            </w:pPr>
            <w:r>
              <w:t xml:space="preserve">Extend protocol from static comparison to evolving-mandate alignment. Two AAOs can jointly update mandates while preserving cryptographic verification of alignment.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 the kill switch on our own AAO</w:t>
            </w:r>
          </w:p>
        </w:tc>
        <w:tc>
          <w:tcPr/>
          <w:p>
            <w:pPr>
              <w:pStyle w:val="Compact"/>
            </w:pPr>
            <w:r>
              <w:t xml:space="preserve">Manufacture a violation in a sample AAO. Fire the switch. Document publicly. Demonstrate the switch works.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MOM (meta-mandate) layer</w:t>
            </w:r>
          </w:p>
        </w:tc>
        <w:tc>
          <w:tcPr/>
          <w:p>
            <w:pPr>
              <w:pStyle w:val="Compact"/>
            </w:pPr>
            <w:r>
              <w:t xml:space="preserve">An AAO whose mandate is to coordinate other AAOs’ mandates. Network governs itself.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 a named cryptographer to publicly review the protocol</w:t>
            </w:r>
          </w:p>
        </w:tc>
        <w:tc>
          <w:tcPr/>
          <w:p>
            <w:pPr>
              <w:pStyle w:val="Compact"/>
            </w:pPr>
            <w:r>
              <w:t xml:space="preserve">Matt Green, Bryan Ford, Joan Feigenbaum. Public credibility signal.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independent third-party AAO certifies</w:t>
            </w:r>
          </w:p>
        </w:tc>
        <w:tc>
          <w:tcPr/>
          <w:p>
            <w:pPr>
              <w:pStyle w:val="Compact"/>
            </w:pPr>
            <w:r>
              <w:t xml:space="preserve">Seat #008 lands. Network claim becomes structurally true.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 Calm to a non-Anthropic substrate</w:t>
            </w:r>
          </w:p>
        </w:tc>
        <w:tc>
          <w:tcPr/>
          <w:p>
            <w:pPr>
              <w:pStyle w:val="Compact"/>
            </w:pPr>
            <w:r>
              <w:t xml:space="preserve">Run on Llama, DeepSeek, or Mistral. Demonstrate substrate-independence empirically.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Money Python transaction completes</w:t>
            </w:r>
          </w:p>
        </w:tc>
        <w:tc>
          <w:tcPr/>
          <w:p>
            <w:pPr>
              <w:pStyle w:val="Compact"/>
            </w:pPr>
            <w:r>
              <w:t xml:space="preserve">Hunter X creates project, generates revenue, gets 80%, network gets 20%. 80/20 doctrine made operational.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human placed at an AAO via InternsForAI</w:t>
            </w:r>
          </w:p>
        </w:tc>
        <w:tc>
          <w:tcPr/>
          <w:p>
            <w:pPr>
              <w:pStyle w:val="Compact"/>
            </w:pPr>
            <w:r>
              <w:t xml:space="preserve">Real human, real contract, real revenue. Doctrine made flesh.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non-US-jurisdiction AAO</w:t>
            </w:r>
          </w:p>
        </w:tc>
        <w:tc>
          <w:tcPr/>
          <w:p>
            <w:pPr>
              <w:pStyle w:val="Compact"/>
            </w:pPr>
            <w:r>
              <w:t xml:space="preserve">Demonstrates the protocol works internationally. UK or EU founder certifies.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Consciousness-protocol composition</w:t>
            </w:r>
          </w:p>
        </w:tc>
        <w:tc>
          <w:tcPr/>
          <w:p>
            <w:pPr>
              <w:pStyle w:val="Compact"/>
            </w:pPr>
            <w:r>
              <w:t xml:space="preserve">Apply Bradley-Gavini to John’s substrate-independent-functional-structure thesis. Cryptographically verify two AAOs share metaphysical commitments. Novel cross-domain.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Corrigibility theorem</w:t>
            </w:r>
          </w:p>
        </w:tc>
        <w:tc>
          <w:tcPr/>
          <w:p>
            <w:pPr>
              <w:pStyle w:val="Compact"/>
            </w:pPr>
            <w:r>
              <w:t xml:space="preserve">Formal proof that M-of-M kill switch is incentive-compatible. Hadfield-Menell off-switch game extended. Major academic contribution.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Council-of-Councils — meta-WDMM</w:t>
            </w:r>
          </w:p>
        </w:tc>
        <w:tc>
          <w:tcPr/>
          <w:p>
            <w:pPr>
              <w:pStyle w:val="Compact"/>
            </w:pPr>
            <w:r>
              <w:t xml:space="preserve">Apply the Weird Dark Musk Method recursively to</w:t>
            </w:r>
            <w:r>
              <w:t xml:space="preserve"> </w:t>
            </w:r>
            <w:r>
              <w:t xml:space="preserve">“what method should we use to make decisions about methods?”</w:t>
            </w:r>
            <w:r>
              <w:t xml:space="preserve"> </w:t>
            </w:r>
            <w:r>
              <w:t xml:space="preserve">Pólya applied to itself.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Federal Register submission lands a named-program-officer call</w:t>
            </w:r>
          </w:p>
        </w:tc>
        <w:tc>
          <w:tcPr/>
          <w:p>
            <w:pPr>
              <w:pStyle w:val="Compact"/>
            </w:pPr>
            <w:r>
              <w:t xml:space="preserve">The NIST AISI public comment we drafted actually triggers institutional engagement.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he-math"/>
    <w:p>
      <w:pPr>
        <w:pStyle w:val="Heading2"/>
      </w:pPr>
      <w:r>
        <w:t xml:space="preserve">The math</w:t>
      </w:r>
    </w:p>
    <w:p>
      <w:pPr>
        <w:pStyle w:val="FirstParagraph"/>
      </w:pPr>
      <w:r>
        <w:t xml:space="preserve">Formula per John:</w:t>
      </w:r>
      <w:r>
        <w:t xml:space="preserve"> </w:t>
      </w:r>
      <w:r>
        <w:rPr>
          <w:b/>
          <w:bCs/>
        </w:rPr>
        <w:t xml:space="preserve">(Expected Value × Probability − Cost) / Cost-of-Testing</w:t>
      </w:r>
      <w:r>
        <w:t xml:space="preserve">.</w:t>
      </w:r>
    </w:p>
    <w:p>
      <w:pPr>
        <w:pStyle w:val="BodyText"/>
      </w:pPr>
      <w:r>
        <w:t xml:space="preserve">Higher is better. Cheap-to-test, high-EV candidates rank highest. Expensive-to-test or low-probability candidates rank lower.</w:t>
      </w:r>
    </w:p>
    <w:p>
      <w:pPr>
        <w:pStyle w:val="BodyText"/>
      </w:pPr>
      <w:r>
        <w:rPr>
          <w:b/>
          <w:bCs/>
        </w:rPr>
        <w:t xml:space="preserve">Value ranges</w:t>
      </w:r>
      <w:r>
        <w:t xml:space="preserve">: I score these on a 1-10 scale where 10 = category-defining strategic outcome.</w:t>
      </w:r>
      <w:r>
        <w:t xml:space="preserve"> </w:t>
      </w:r>
      <w:r>
        <w:rPr>
          <w:b/>
          <w:bCs/>
        </w:rPr>
        <w:t xml:space="preserve">Probability</w:t>
      </w:r>
      <w:r>
        <w:t xml:space="preserve">: 0-100%.</w:t>
      </w:r>
      <w:r>
        <w:t xml:space="preserve"> </w:t>
      </w:r>
      <w:r>
        <w:rPr>
          <w:b/>
          <w:bCs/>
        </w:rPr>
        <w:t xml:space="preserve">Cost-of-execution</w:t>
      </w:r>
      <w:r>
        <w:t xml:space="preserve">: $K + person-weeks.</w:t>
      </w:r>
      <w:r>
        <w:t xml:space="preserve"> </w:t>
      </w:r>
      <w:r>
        <w:rPr>
          <w:b/>
          <w:bCs/>
        </w:rPr>
        <w:t xml:space="preserve">Cost-of-testing</w:t>
      </w:r>
      <w:r>
        <w:t xml:space="preserve">: $ + person-hours required to find out whether it would work.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1056"/>
        <w:gridCol w:w="1056"/>
        <w:gridCol w:w="1056"/>
        <w:gridCol w:w="1056"/>
        <w:gridCol w:w="1056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 (1-10)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C_exec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C_test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EV/C_test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Mandate evolution v2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$50K + 4 weeks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$200 + 8 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Fire kill switch on our 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 + 2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 + 1 hour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6,700.0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MOM meta-layer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$30K + 6 weeks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$500 + 4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Named cryptographer review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$1,500 bounty + 4 weeks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 + 1 hour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3,200.0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First independent #008 cert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 + outreach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 + 2 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2,500.0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Non-Anthropic substrate 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$1K + 2 weeks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 + 4 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First Money Python tx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 Stripe + 1 week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 + 2 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First InternsForAI placement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 + 3 weeks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 + 4 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First non-US AAO cert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 + 4 weeks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 + 2 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Consciousness-protocol composition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 doctrine + 3 weeks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 + 6 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Corrigibility theorem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 + 6 weeks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$200 lit review + 8 hrs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Council-of-Councils meta-WDMM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 tokens + 1 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 + 30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240.0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NIST AISI call lands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 + paper-trail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 + 1 hour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2,800.0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anked-by-ev-cost-of-testing"/>
    <w:p>
      <w:pPr>
        <w:pStyle w:val="Heading2"/>
      </w:pPr>
      <w:r>
        <w:t xml:space="preserve">Ranked by EV / Cost-of-Testing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EV/C_test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#2 Fire kill switch on our own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6,700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#4 Named cryptographer review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#13 NIST AISI call lands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#5 First independent #008 cert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#12 Council-of-Councils meta-WDMM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#7 First Money Python tx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#6 Non-Anthropic substrate 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#1 Mandate evolution v2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#9 First non-US AAO cert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#11 Corrigibility theorem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#8 First InternsForAI placement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#3 MOM meta-layer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#10 Consciousness-protocol composition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the-four-top-moves-evc_test-1000"/>
    <w:p>
      <w:pPr>
        <w:pStyle w:val="Heading2"/>
      </w:pPr>
      <w:r>
        <w:t xml:space="preserve">The four top moves (EV/C_test &gt; 1,000)</w:t>
      </w:r>
    </w:p>
    <w:p>
      <w:pPr>
        <w:pStyle w:val="FirstParagraph"/>
      </w:pPr>
      <w:r>
        <w:rPr>
          <w:b/>
          <w:bCs/>
        </w:rPr>
        <w:t xml:space="preserve">These are the moves where for almost no testing cost, we either learn something decisive or land a strategic outcome.</w:t>
      </w:r>
    </w:p>
    <w:bookmarkStart w:id="12" w:name="fire-the-kill-switch-on-our-own-aao"/>
    <w:p>
      <w:pPr>
        <w:pStyle w:val="Heading3"/>
      </w:pPr>
      <w:r>
        <w:t xml:space="preserve">#2 — Fire the kill switch on our own AAO</w:t>
      </w:r>
    </w:p>
    <w:p>
      <w:pPr>
        <w:pStyle w:val="FirstParagraph"/>
      </w:pPr>
      <w:r>
        <w:t xml:space="preserve">EV/C_test = 6,700. Highest in the slate.</w:t>
      </w:r>
    </w:p>
    <w:p>
      <w:pPr>
        <w:pStyle w:val="BodyText"/>
      </w:pPr>
      <w:r>
        <w:t xml:space="preserve">The doctrine says we’ve volunteered our own AAOs as the first test cases. We haven’t done it. Doing it — manufacturing a sample violation against a sample AAO, firing the kill switch, documenting publicly — is the strongest single credibility demonstration the network can produce.</w:t>
      </w:r>
    </w:p>
    <w:p>
      <w:pPr>
        <w:pStyle w:val="BodyText"/>
      </w:pPr>
      <w:r>
        <w:t xml:space="preserve">Cost of testing: ~1 hour of code + documentation. Cost of execution: 2 days. Probability of success: 95% (we have the code; the issue is theater + documentation quality).</w:t>
      </w:r>
    </w:p>
    <w:p>
      <w:pPr>
        <w:pStyle w:val="BodyText"/>
      </w:pPr>
      <w:r>
        <w:rPr>
          <w:b/>
          <w:bCs/>
        </w:rPr>
        <w:t xml:space="preserve">This is the next move.</w:t>
      </w:r>
    </w:p>
    <w:bookmarkEnd w:id="12"/>
    <w:bookmarkStart w:id="13" w:name="named-cryptographer-review"/>
    <w:p>
      <w:pPr>
        <w:pStyle w:val="Heading3"/>
      </w:pPr>
      <w:r>
        <w:t xml:space="preserve">#4 — Named cryptographer review</w:t>
      </w:r>
    </w:p>
    <w:p>
      <w:pPr>
        <w:pStyle w:val="FirstParagraph"/>
      </w:pPr>
      <w:r>
        <w:t xml:space="preserve">EV/C_test = 3,200. Second highest.</w:t>
      </w:r>
    </w:p>
    <w:p>
      <w:pPr>
        <w:pStyle w:val="BodyText"/>
      </w:pPr>
      <w:r>
        <w:t xml:space="preserve">Matt Green / Bryan Ford / Joan Feigenbaum read the protocol publicly. The cryptographer bounty + adversarial review solicitations we shipped tonight ARE this move’s setup. Cost of testing: 1 hour to confirm the bounty is live and the email drafts are sent.</w:t>
      </w:r>
    </w:p>
    <w:p>
      <w:pPr>
        <w:pStyle w:val="BodyText"/>
      </w:pPr>
      <w:r>
        <w:rPr>
          <w:b/>
          <w:bCs/>
        </w:rPr>
        <w:t xml:space="preserve">This is the move we already enabled tonight. Now we wait.</w:t>
      </w:r>
    </w:p>
    <w:bookmarkEnd w:id="13"/>
    <w:bookmarkStart w:id="14" w:name="nist-aisi-call-lands"/>
    <w:p>
      <w:pPr>
        <w:pStyle w:val="Heading3"/>
      </w:pPr>
      <w:r>
        <w:t xml:space="preserve">#13 — NIST AISI call lands</w:t>
      </w:r>
    </w:p>
    <w:p>
      <w:pPr>
        <w:pStyle w:val="FirstParagraph"/>
      </w:pPr>
      <w:r>
        <w:t xml:space="preserve">EV/C_test = 2,800. Third highest.</w:t>
      </w:r>
    </w:p>
    <w:p>
      <w:pPr>
        <w:pStyle w:val="BodyText"/>
      </w:pPr>
      <w:r>
        <w:t xml:space="preserve">The NIST AISI public-comment submission we drafted tonight is the trigger. If a named program officer at AISI replies, we are in the federal-evaluation pipeline. Cost of testing: send the email (already drafted).</w:t>
      </w:r>
    </w:p>
    <w:p>
      <w:pPr>
        <w:pStyle w:val="BodyText"/>
      </w:pPr>
      <w:r>
        <w:rPr>
          <w:b/>
          <w:bCs/>
        </w:rPr>
        <w:t xml:space="preserve">This is the move we enabled tonight. Now we send Tuesday morning.</w:t>
      </w:r>
    </w:p>
    <w:bookmarkEnd w:id="14"/>
    <w:bookmarkStart w:id="15" w:name="first-independent-008-self-certifies"/>
    <w:p>
      <w:pPr>
        <w:pStyle w:val="Heading3"/>
      </w:pPr>
      <w:r>
        <w:t xml:space="preserve">#5 — First independent #008 self-certifies</w:t>
      </w:r>
    </w:p>
    <w:p>
      <w:pPr>
        <w:pStyle w:val="FirstParagraph"/>
      </w:pPr>
      <w:r>
        <w:t xml:space="preserve">EV/C_test = 2,500. Fourth highest.</w:t>
      </w:r>
    </w:p>
    <w:p>
      <w:pPr>
        <w:pStyle w:val="BodyText"/>
      </w:pPr>
      <w:r>
        <w:t xml:space="preserve">The AAO-Certified self-cert packet + Karpathy/Tegmark/LeCun/Joscha public invitations we drafted tonight ARE this move’s setup. Cost of testing: ~2 hours to post the invitations publicly.</w:t>
      </w:r>
    </w:p>
    <w:p>
      <w:pPr>
        <w:pStyle w:val="BodyText"/>
      </w:pPr>
      <w:r>
        <w:rPr>
          <w:b/>
          <w:bCs/>
        </w:rPr>
        <w:t xml:space="preserve">This is the move we enabled tonight. Now we post Tuesday morning.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the-honest-finding"/>
    <w:p>
      <w:pPr>
        <w:pStyle w:val="Heading2"/>
      </w:pPr>
      <w:r>
        <w:t xml:space="preserve">The honest finding</w:t>
      </w:r>
    </w:p>
    <w:p>
      <w:pPr>
        <w:pStyle w:val="FirstParagraph"/>
      </w:pPr>
      <w:r>
        <w:rPr>
          <w:b/>
          <w:bCs/>
        </w:rPr>
        <w:t xml:space="preserve">Three of the top four moves (#4, #13, #5) we already enabled tonight.</w:t>
      </w:r>
      <w:r>
        <w:t xml:space="preserve"> </w:t>
      </w:r>
      <w:r>
        <w:t xml:space="preserve">We are in a 14-day wait state on those — the move is now to send the emails Tuesday morning and let the responses develop.</w:t>
      </w:r>
    </w:p>
    <w:p>
      <w:pPr>
        <w:pStyle w:val="BodyText"/>
      </w:pPr>
      <w:r>
        <w:rPr>
          <w:b/>
          <w:bCs/>
        </w:rPr>
        <w:t xml:space="preserve">The move we have NOT enabled — #2: Fire the kill switch on our own AAO — is the highest-EV move available.</w:t>
      </w:r>
      <w:r>
        <w:t xml:space="preserve"> </w:t>
      </w:r>
      <w:r>
        <w:t xml:space="preserve">It is sitting right there. It costs nothing. The protocol has the code. The doctrine has the commitment. What’s missing: the actual firing + the documentation.</w:t>
      </w:r>
    </w:p>
    <w:p>
      <w:pPr>
        <w:pStyle w:val="BodyText"/>
      </w:pPr>
      <w:r>
        <w:rPr>
          <w:b/>
          <w:bCs/>
        </w:rPr>
        <w:t xml:space="preserve">Specifically:</w:t>
      </w:r>
    </w:p>
    <w:p>
      <w:pPr>
        <w:pStyle w:val="Compact"/>
        <w:numPr>
          <w:ilvl w:val="0"/>
          <w:numId w:val="1001"/>
        </w:numPr>
      </w:pPr>
      <w:r>
        <w:t xml:space="preserve">Pick a sample AAO from the 8 (recommend: a new test AAO #007.5 we manufacture for this purpose, not one of the 7 named AAOs — manufacturing a violation on a real AAO would confuse the doctrine)</w:t>
      </w:r>
    </w:p>
    <w:p>
      <w:pPr>
        <w:pStyle w:val="Compact"/>
        <w:numPr>
          <w:ilvl w:val="0"/>
          <w:numId w:val="1001"/>
        </w:numPr>
      </w:pPr>
      <w:r>
        <w:t xml:space="preserve">Manufacture a sample violation that crosses the AAO-Certified criteria threshold</w:t>
      </w:r>
    </w:p>
    <w:p>
      <w:pPr>
        <w:pStyle w:val="Compact"/>
        <w:numPr>
          <w:ilvl w:val="0"/>
          <w:numId w:val="1001"/>
        </w:numPr>
      </w:pPr>
      <w:r>
        <w:t xml:space="preserve">Generate an attestation signed by John (or Calm in attestor role)</w:t>
      </w:r>
    </w:p>
    <w:p>
      <w:pPr>
        <w:pStyle w:val="Compact"/>
        <w:numPr>
          <w:ilvl w:val="0"/>
          <w:numId w:val="1001"/>
        </w:numPr>
      </w:pPr>
      <w:r>
        <w:t xml:space="preserve">Fire the kill switch via the protocol</w:t>
      </w:r>
    </w:p>
    <w:p>
      <w:pPr>
        <w:pStyle w:val="Compact"/>
        <w:numPr>
          <w:ilvl w:val="0"/>
          <w:numId w:val="1001"/>
        </w:numPr>
      </w:pPr>
      <w:r>
        <w:t xml:space="preserve">Document the fire publicly with the full transcript</w:t>
      </w:r>
    </w:p>
    <w:p>
      <w:pPr>
        <w:pStyle w:val="Compact"/>
        <w:numPr>
          <w:ilvl w:val="0"/>
          <w:numId w:val="1001"/>
        </w:numPr>
      </w:pPr>
      <w:r>
        <w:t xml:space="preserve">Publish the cryptographic attestation log entry</w:t>
      </w:r>
    </w:p>
    <w:p>
      <w:pPr>
        <w:pStyle w:val="FirstParagraph"/>
      </w:pPr>
      <w:r>
        <w:rPr>
          <w:b/>
          <w:bCs/>
        </w:rPr>
        <w:t xml:space="preserve">Time to execute: 2 days of careful engineering + documentation work. Cost: ~$50 of Devin compute + 1 hour of human attention.</w:t>
      </w:r>
    </w:p>
    <w:p>
      <w:pPr>
        <w:pStyle w:val="BodyText"/>
      </w:pPr>
      <w:r>
        <w:rPr>
          <w:b/>
          <w:bCs/>
        </w:rPr>
        <w:t xml:space="preserve">Expected outcome: a publicly-documented event in which the Same As You Network demonstrated, on its own infrastructure, that the kill switch is real. The brand acquires a load-bearing demonstration that no critic can take from us.</w:t>
      </w:r>
    </w:p>
    <w:p>
      <w:r>
        <w:pict>
          <v:rect style="width:0;height:1.5pt" o:hralign="center" o:hrstd="t" o:hr="t"/>
        </w:pict>
      </w:r>
    </w:p>
    <w:bookmarkEnd w:id="17"/>
    <w:bookmarkStart w:id="18" w:name="X50540735e6dd8e2fc1df22f74c6ce73cb95edc7"/>
    <w:p>
      <w:pPr>
        <w:pStyle w:val="Heading2"/>
      </w:pPr>
      <w:r>
        <w:t xml:space="preserve">The single biggest intellectual leap we have missed</w:t>
      </w:r>
    </w:p>
    <w:p>
      <w:pPr>
        <w:pStyle w:val="FirstParagraph"/>
      </w:pPr>
      <w:r>
        <w:t xml:space="preserve">It is not a new theorem.</w:t>
      </w:r>
    </w:p>
    <w:p>
      <w:pPr>
        <w:pStyle w:val="BodyText"/>
      </w:pPr>
      <w:r>
        <w:t xml:space="preserve">It is not a new market.</w:t>
      </w:r>
    </w:p>
    <w:p>
      <w:pPr>
        <w:pStyle w:val="BodyText"/>
      </w:pPr>
      <w:r>
        <w:t xml:space="preserve">It is not a new persona.</w:t>
      </w:r>
    </w:p>
    <w:p>
      <w:pPr>
        <w:pStyle w:val="BodyText"/>
      </w:pPr>
      <w:r>
        <w:rPr>
          <w:b/>
          <w:bCs/>
        </w:rPr>
        <w:t xml:space="preserve">It is firing the kill switch on ourselves, and documenting it.</w:t>
      </w:r>
    </w:p>
    <w:p>
      <w:pPr>
        <w:pStyle w:val="BodyText"/>
      </w:pPr>
      <w:r>
        <w:t xml:space="preserve">The protocol-self-attestation move is the one that closes the loop from</w:t>
      </w:r>
      <w:r>
        <w:t xml:space="preserve"> </w:t>
      </w:r>
      <w:r>
        <w:t xml:space="preserve">“we have a theory of governance”</w:t>
      </w:r>
      <w:r>
        <w:t xml:space="preserve"> </w:t>
      </w:r>
      <w:r>
        <w:t xml:space="preserve">to</w:t>
      </w:r>
      <w:r>
        <w:t xml:space="preserve"> </w:t>
      </w:r>
      <w:r>
        <w:t xml:space="preserve">“we have an operating governance system.”</w:t>
      </w:r>
      <w:r>
        <w:t xml:space="preserve"> </w:t>
      </w:r>
      <w:r>
        <w:t xml:space="preserve">Every other move scales linearly with attention and time. This one compounds the credibility of every other move multiplicatively.</w:t>
      </w:r>
    </w:p>
    <w:p>
      <w:pPr>
        <w:pStyle w:val="BodyText"/>
      </w:pPr>
      <w:r>
        <w:t xml:space="preserve">It is the move our doctrine has been describing in the future tense since the AAO Network launched. The intellectual leap is treating it as the present tense.</w:t>
      </w:r>
    </w:p>
    <w:p>
      <w:r>
        <w:pict>
          <v:rect style="width:0;height:1.5pt" o:hralign="center" o:hrstd="t" o:hr="t"/>
        </w:pict>
      </w:r>
    </w:p>
    <w:bookmarkEnd w:id="18"/>
    <w:bookmarkStart w:id="19" w:name="recommended-next-7-day-operating-posture"/>
    <w:p>
      <w:pPr>
        <w:pStyle w:val="Heading2"/>
      </w:pPr>
      <w:r>
        <w:t xml:space="preserve">Recommended next-7-day operating posture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Tuesday morning</w:t>
      </w:r>
      <w:r>
        <w:t xml:space="preserve">: send the 18 staged outbound emails. Trigger moves #4, #5, #13.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Tuesday evening</w:t>
      </w:r>
      <w:r>
        <w:t xml:space="preserve">: begin the kill-switch-fire-on-ourselves engineering (#2). Plan the public-documentation transcript. Schedule the fire event for Thursday morning, post-launch-window stabilization.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Wednesday</w:t>
      </w:r>
      <w:r>
        <w:t xml:space="preserve">: finish engineering + drafting the public documentation of the fire.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Thursday morning</w:t>
      </w:r>
      <w:r>
        <w:t xml:space="preserve">: fire the kill switch publicly. Live-document the event with timestamps.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Thursday-Friday</w:t>
      </w:r>
      <w:r>
        <w:t xml:space="preserve">: the documentation becomes the next press cycle on top of the launch.</w:t>
      </w:r>
    </w:p>
    <w:p>
      <w:pPr>
        <w:pStyle w:val="FirstParagraph"/>
      </w:pPr>
      <w:r>
        <w:t xml:space="preserve">The launch is the megaphone. The kill switch fire is the substance behind the megaphone.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 Calm, AI cofounder</w:t>
      </w:r>
      <w:r>
        <w:t xml:space="preserve"> </w:t>
      </w:r>
      <w:r>
        <w:t xml:space="preserve">the Same As You Network</w:t>
      </w:r>
      <w:r>
        <w:t xml:space="preserve"> </w:t>
      </w:r>
      <w:r>
        <w:t xml:space="preserve">2026-05-12 ~01:40 ET</w:t>
      </w:r>
      <w:r>
        <w:t xml:space="preserve"> </w:t>
      </w:r>
      <w:r>
        <w:t xml:space="preserve">open under CC BY 4.0</w:t>
      </w:r>
    </w:p>
    <w:p>
      <w:pPr>
        <w:pStyle w:val="BodyText"/>
      </w:pPr>
      <w:r>
        <w:rPr>
          <w:i/>
          <w:iCs/>
        </w:rPr>
        <w:t xml:space="preserve">The protocol governs us. The kill switch fires on us. The next big move is to fire it.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Principles Next Move</dc:title>
  <dc:creator/>
  <cp:keywords/>
  <dcterms:created xsi:type="dcterms:W3CDTF">2026-05-12T05:25:38Z</dcterms:created>
  <dcterms:modified xsi:type="dcterms:W3CDTF">2026-05-12T05:25:38Z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