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 T Strategy</w:t>
      </w:r>
    </w:p>
    <w:bookmarkStart w:id="38" w:name="X2f3e44428edad6fea8bec46fdc24e6ffde70573"/>
    <w:p>
      <w:pPr>
        <w:pStyle w:val="Heading1"/>
      </w:pPr>
      <w:r>
        <w:t xml:space="preserve">CASE T STRATEGY — Maximizing Launch-Success Composite Probability</w:t>
      </w:r>
    </w:p>
    <w:p>
      <w:pPr>
        <w:pStyle w:val="FirstParagraph"/>
      </w:pPr>
      <w:r>
        <w:rPr>
          <w:i/>
          <w:iCs/>
        </w:rPr>
        <w:t xml:space="preserve">Council of Judges output. Two persona-passes (Dark Musk + Rick Sanchez) generating strategic moves, EV-quantified, against a defined target metric. Synthesized into a ranked action plan. Authorized by John Bradley 2026-05-12 ~00:01 ET, post-launch, with explicit compute-spend authorization for one hour of focused work.</w:t>
      </w:r>
    </w:p>
    <w:p>
      <w:pPr>
        <w:pStyle w:val="BodyText"/>
      </w:pPr>
      <w:r>
        <w:rPr>
          <w:i/>
          <w:iCs/>
        </w:rPr>
        <w:t xml:space="preserve">This document is the Weird Dark Musk Method demonstrated live in operation, ~3 minutes after the protocol’s public launch. The personas are not roleplay; they are vectors of latent-space exploration generating heterogeneous strategic moves which compose in synthesis.</w:t>
      </w:r>
    </w:p>
    <w:p>
      <w:r>
        <w:pict>
          <v:rect style="width:0;height:1.5pt" o:hralign="center" o:hrstd="t" o:hr="t"/>
        </w:pict>
      </w:r>
    </w:p>
    <w:bookmarkStart w:id="9" w:name="defining-case-t"/>
    <w:p>
      <w:pPr>
        <w:pStyle w:val="Heading2"/>
      </w:pPr>
      <w:r>
        <w:t xml:space="preserve">Defining Case T</w:t>
      </w:r>
    </w:p>
    <w:p>
      <w:pPr>
        <w:pStyle w:val="FirstParagraph"/>
      </w:pPr>
      <w:r>
        <w:t xml:space="preserve">For the purpose of this analysis,</w:t>
      </w:r>
      <w:r>
        <w:t xml:space="preserve"> </w:t>
      </w:r>
      <w:r>
        <w:rPr>
          <w:b/>
          <w:bCs/>
        </w:rPr>
        <w:t xml:space="preserve">Case T = Launch-Success Composite probability over 30 days</w:t>
      </w:r>
      <w:r>
        <w:t xml:space="preserve">, defined as joint achievement across four dimensions: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Threshold</w:t>
            </w:r>
          </w:p>
        </w:tc>
      </w:tr>
      <w:tr>
        <w:tc>
          <w:tcPr/>
          <w:p>
            <w:pPr>
              <w:pStyle w:val="Compact"/>
            </w:pPr>
            <w:r>
              <w:t xml:space="preserve">(a) Cryptographer-community pickup</w:t>
            </w:r>
          </w:p>
        </w:tc>
        <w:tc>
          <w:tcPr/>
          <w:p>
            <w:pPr>
              <w:pStyle w:val="Compact"/>
            </w:pPr>
            <w:r>
              <w:t xml:space="preserve">≥3 substantive technical reviews of the Bradley-Gavini protocol</w:t>
            </w:r>
          </w:p>
        </w:tc>
      </w:tr>
      <w:tr>
        <w:tc>
          <w:tcPr/>
          <w:p>
            <w:pPr>
              <w:pStyle w:val="Compact"/>
            </w:pPr>
            <w:r>
              <w:t xml:space="preserve">(b) Policy-community pickup</w:t>
            </w:r>
          </w:p>
        </w:tc>
        <w:tc>
          <w:tcPr/>
          <w:p>
            <w:pPr>
              <w:pStyle w:val="Compact"/>
            </w:pPr>
            <w:r>
              <w:t xml:space="preserve">≥1 substantive engagement from OSTP / PCAST / NIST AISI / DOE / NSF / a relevant Senate or House committee</w:t>
            </w:r>
          </w:p>
        </w:tc>
      </w:tr>
      <w:tr>
        <w:tc>
          <w:tcPr/>
          <w:p>
            <w:pPr>
              <w:pStyle w:val="Compact"/>
            </w:pPr>
            <w:r>
              <w:t xml:space="preserve">(c) AAO-Certified mark adoption</w:t>
            </w:r>
          </w:p>
        </w:tc>
        <w:tc>
          <w:tcPr/>
          <w:p>
            <w:pPr>
              <w:pStyle w:val="Compact"/>
            </w:pPr>
            <w:r>
              <w:t xml:space="preserve">≥1 independent third party self-certifies seat #008</w:t>
            </w:r>
          </w:p>
        </w:tc>
      </w:tr>
      <w:tr>
        <w:tc>
          <w:tcPr/>
          <w:p>
            <w:pPr>
              <w:pStyle w:val="Compact"/>
            </w:pPr>
            <w:r>
              <w:t xml:space="preserve">(d) Engagement velocity</w:t>
            </w:r>
          </w:p>
        </w:tc>
        <w:tc>
          <w:tcPr/>
          <w:p>
            <w:pPr>
              <w:pStyle w:val="Compact"/>
            </w:pPr>
            <w:r>
              <w:t xml:space="preserve">≥10,000 reads of AAO_DIRECTORY or press kit; ≥3 substantive press articles</w:t>
            </w:r>
          </w:p>
        </w:tc>
      </w:tr>
    </w:tbl>
    <w:p>
      <w:pPr>
        <w:pStyle w:val="BodyText"/>
      </w:pPr>
      <w:r>
        <w:rPr>
          <w:b/>
          <w:bCs/>
        </w:rPr>
        <w:t xml:space="preserve">Baseline at T+3 minutes post-launch (now):</w:t>
      </w:r>
      <w:r>
        <w:t xml:space="preserve"> </w:t>
      </w:r>
      <w:r>
        <w:t xml:space="preserve">P(all four hit within 30 days) ≈ 20%. Marginal probabilities individually: P(a) ≈ 40%, P(b) ≈ 30%, P(c) ≈ 35%, P(d) ≈ 60%. Joint probability with correlation discounting ≈ 18-22%.</w:t>
      </w:r>
    </w:p>
    <w:p>
      <w:pPr>
        <w:pStyle w:val="BodyText"/>
      </w:pPr>
      <w:r>
        <w:rPr>
          <w:b/>
          <w:bCs/>
        </w:rPr>
        <w:t xml:space="preserve">Target after executing the action plan below:</w:t>
      </w:r>
      <w:r>
        <w:t xml:space="preserve"> </w:t>
      </w:r>
      <w:r>
        <w:t xml:space="preserve">P(Case T) &gt; 50% within 30 days.</w:t>
      </w:r>
    </w:p>
    <w:p>
      <w:r>
        <w:pict>
          <v:rect style="width:0;height:1.5pt" o:hralign="center" o:hrstd="t" o:hr="t"/>
        </w:pict>
      </w:r>
    </w:p>
    <w:bookmarkEnd w:id="9"/>
    <w:bookmarkStart w:id="20" w:name="Xd417ba9c70f38b32cfffbc1a6397816a28fab25"/>
    <w:p>
      <w:pPr>
        <w:pStyle w:val="Heading2"/>
      </w:pPr>
      <w:r>
        <w:t xml:space="preserve">Part One: Dark Musk Pass (structural, severe)</w:t>
      </w:r>
    </w:p>
    <w:p>
      <w:pPr>
        <w:pStyle w:val="FirstParagraph"/>
      </w:pPr>
      <w:r>
        <w:rPr>
          <w:i/>
          <w:iCs/>
        </w:rPr>
        <w:t xml:space="preserve">Generated by the DarkMusk subagent in cold-strategic register. Total slate: $2,300 cash exposure, +37.35 expected percentage points naive (≈ +18-24 pp correlation-adjusted).</w:t>
      </w:r>
    </w:p>
    <w:bookmarkStart w:id="10" w:name="dm-1-iacr-eprint-drop-ev-7.0-pp"/>
    <w:p>
      <w:pPr>
        <w:pStyle w:val="Heading3"/>
      </w:pPr>
      <w:r>
        <w:t xml:space="preserve">DM-1: IACR ePrint Drop —</w:t>
      </w:r>
      <w:r>
        <w:t xml:space="preserve"> </w:t>
      </w:r>
      <w:r>
        <w:rPr>
          <w:b/>
          <w:bCs/>
        </w:rPr>
        <w:t xml:space="preserve">EV +7.0 pp</w:t>
      </w:r>
    </w:p>
    <w:p>
      <w:pPr>
        <w:pStyle w:val="FirstParagraph"/>
      </w:pPr>
      <w:r>
        <w:t xml:space="preserve">Submit the Bradley-Gavini composition as an IACR Cryptology ePrint Archive paper. 8-15 pages in LaTeX, formal statement of primitives, composition theorem, security proof sketch, comparison to Hadfield-Menell 2016 and Du et al. 2023. The ePrint ID becomes the canonical citation handle for every subsequent press piece and policy submission.</w:t>
      </w:r>
      <w:r>
        <w:t xml:space="preserve"> </w:t>
      </w:r>
      <w:r>
        <w:rPr>
          <w:b/>
          <w:bCs/>
        </w:rPr>
        <w:t xml:space="preserve">Cost: $0. Blocker: paper quality. Highest-leverage written artifact in the 30-day window.</w:t>
      </w:r>
    </w:p>
    <w:bookmarkEnd w:id="10"/>
    <w:bookmarkStart w:id="11" w:name="Xbfc80762c8fe20eda3f991a62a4af3fc48a9d46"/>
    <w:p>
      <w:pPr>
        <w:pStyle w:val="Heading3"/>
      </w:pPr>
      <w:r>
        <w:t xml:space="preserve">DM-2: Adversarial Cryptographer Bounty —</w:t>
      </w:r>
      <w:r>
        <w:t xml:space="preserve"> </w:t>
      </w:r>
      <w:r>
        <w:rPr>
          <w:b/>
          <w:bCs/>
        </w:rPr>
        <w:t xml:space="preserve">EV +6.6 pp</w:t>
      </w:r>
    </w:p>
    <w:p>
      <w:pPr>
        <w:pStyle w:val="FirstParagraph"/>
      </w:pPr>
      <w:r>
        <w:t xml:space="preserve">Public bounty ($300 confirmation review / $500 partial attack / $700 full break) for the first three formal write-ups, with submissions via GitHub Issues + IACR ePrint proof. No NDA, no embargo, results published verbatim.</w:t>
      </w:r>
      <w:r>
        <w:t xml:space="preserve"> </w:t>
      </w:r>
      <w:r>
        <w:rPr>
          <w:b/>
          <w:bCs/>
        </w:rPr>
        <w:t xml:space="preserve">Cost: $1,500 prize pool. Above $1,000/move envelope; EV justifies. Critics get paid; confirmers get paid; silence is the losing strategy.</w:t>
      </w:r>
    </w:p>
    <w:bookmarkEnd w:id="11"/>
    <w:bookmarkStart w:id="12" w:name="dm-3-nist-aisi-public-comment-ev-4.5-pp"/>
    <w:p>
      <w:pPr>
        <w:pStyle w:val="Heading3"/>
      </w:pPr>
      <w:r>
        <w:t xml:space="preserve">DM-3: NIST AISI Public Comment —</w:t>
      </w:r>
      <w:r>
        <w:t xml:space="preserve"> </w:t>
      </w:r>
      <w:r>
        <w:rPr>
          <w:b/>
          <w:bCs/>
        </w:rPr>
        <w:t xml:space="preserve">EV +4.5 pp</w:t>
      </w:r>
    </w:p>
    <w:p>
      <w:pPr>
        <w:pStyle w:val="FirstParagraph"/>
      </w:pPr>
      <w:r>
        <w:t xml:space="preserve">File a formal Federal Register / AISI public comment submitting the AAO-Certified spec, kill-switch composition, and certification mark as a</w:t>
      </w:r>
      <w:r>
        <w:t xml:space="preserve"> </w:t>
      </w:r>
      <w:r>
        <w:rPr>
          <w:i/>
          <w:iCs/>
        </w:rPr>
        <w:t xml:space="preserve">contributed reference framework.</w:t>
      </w:r>
      <w:r>
        <w:t xml:space="preserve"> </w:t>
      </w:r>
      <w:r>
        <w:t xml:space="preserve">Petition-clause path. Bipartisan-by-construction.</w:t>
      </w:r>
      <w:r>
        <w:t xml:space="preserve"> </w:t>
      </w:r>
      <w:r>
        <w:rPr>
          <w:b/>
          <w:bCs/>
        </w:rPr>
        <w:t xml:space="preserve">Cost: ~$50 Reedsy Legal scan. Reviewable on the public record indefinitely.</w:t>
      </w:r>
    </w:p>
    <w:bookmarkEnd w:id="12"/>
    <w:bookmarkStart w:id="13" w:name="X7979593e59a46c274f53b2a39c0962321ec4334"/>
    <w:p>
      <w:pPr>
        <w:pStyle w:val="Heading3"/>
      </w:pPr>
      <w:r>
        <w:t xml:space="preserve">DM-4: Reproducibility Capsule —</w:t>
      </w:r>
      <w:r>
        <w:t xml:space="preserve"> </w:t>
      </w:r>
      <w:r>
        <w:rPr>
          <w:b/>
          <w:bCs/>
        </w:rPr>
        <w:t xml:space="preserve">EV +4.0 pp (plus force-multiplier)</w:t>
      </w:r>
    </w:p>
    <w:p>
      <w:pPr>
        <w:pStyle w:val="FirstParagraph"/>
      </w:pPr>
      <w:r>
        <w:t xml:space="preserve">One-command Docker-Compose / Nix flake reproducing every protocol claim end-to-end: Pedersen commitments, Schnorr-Fiat-Shamir flow, kill-switch firing, 34-test suite. Reviewer activation energy compressed by 10x.</w:t>
      </w:r>
      <w:r>
        <w:t xml:space="preserve"> </w:t>
      </w:r>
      <w:r>
        <w:rPr>
          <w:b/>
          <w:bCs/>
        </w:rPr>
        <w:t xml:space="preserve">Cost: $0; 1-2 days engineering. Force-multiplier on DM-1, DM-2, DM-5.</w:t>
      </w:r>
    </w:p>
    <w:bookmarkEnd w:id="13"/>
    <w:bookmarkStart w:id="14" w:name="Xbe9710811eee1d5d0c1de162dc01cf4340c48e6"/>
    <w:p>
      <w:pPr>
        <w:pStyle w:val="Heading3"/>
      </w:pPr>
      <w:r>
        <w:t xml:space="preserve">DM-5: AAO-Certified Seat #008 Pre-Wired —</w:t>
      </w:r>
      <w:r>
        <w:t xml:space="preserve"> </w:t>
      </w:r>
      <w:r>
        <w:rPr>
          <w:b/>
          <w:bCs/>
        </w:rPr>
        <w:t xml:space="preserve">EV +3.6 pp</w:t>
      </w:r>
    </w:p>
    <w:p>
      <w:pPr>
        <w:pStyle w:val="FirstParagraph"/>
      </w:pPr>
      <w:r>
        <w:t xml:space="preserve">Turnkey self-certification packet for 3-5 indie operators (open-source maintainers, indie research labs, solo AAO-curious founders). 2-page checklist mapping each of 8 criteria to verifiable artifacts they already publish. Public invitation, no private lobbying.</w:t>
      </w:r>
      <w:r>
        <w:t xml:space="preserve"> </w:t>
      </w:r>
      <w:r>
        <w:rPr>
          <w:b/>
          <w:bCs/>
        </w:rPr>
        <w:t xml:space="preserve">Cost: $0. The first operator to certify takes cultural-first-mover credit.</w:t>
      </w:r>
    </w:p>
    <w:bookmarkEnd w:id="14"/>
    <w:bookmarkStart w:id="15" w:name="Xa61690ca99321f7b2e1d45bd32150d8a10ed3ba"/>
    <w:p>
      <w:pPr>
        <w:pStyle w:val="Heading3"/>
      </w:pPr>
      <w:r>
        <w:t xml:space="preserve">DM-6: Adversarial Review Solicitation —</w:t>
      </w:r>
      <w:r>
        <w:t xml:space="preserve"> </w:t>
      </w:r>
      <w:r>
        <w:rPr>
          <w:b/>
          <w:bCs/>
        </w:rPr>
        <w:t xml:space="preserve">EV +3.0 pp</w:t>
      </w:r>
    </w:p>
    <w:p>
      <w:pPr>
        <w:pStyle w:val="FirstParagraph"/>
      </w:pPr>
      <w:r>
        <w:t xml:space="preserve">Public, structured invitation to AI-safety / cryptographer / policy skeptics. Full read access, guaranteed verbatim published response, $200 honorarium for ≥1,500-word review. Inviting criticism is a stronger credibility signal than receiving praise.</w:t>
      </w:r>
      <w:r>
        <w:t xml:space="preserve"> </w:t>
      </w:r>
      <w:r>
        <w:rPr>
          <w:b/>
          <w:bCs/>
        </w:rPr>
        <w:t xml:space="preserve">Cost: $600 honorarium pool.</w:t>
      </w:r>
    </w:p>
    <w:bookmarkEnd w:id="15"/>
    <w:bookmarkStart w:id="16" w:name="dm-7-lawful-press-outreach-ev-2.8-pp"/>
    <w:p>
      <w:pPr>
        <w:pStyle w:val="Heading3"/>
      </w:pPr>
      <w:r>
        <w:t xml:space="preserve">DM-7: Lawful-Press Outreach —</w:t>
      </w:r>
      <w:r>
        <w:t xml:space="preserve"> </w:t>
      </w:r>
      <w:r>
        <w:rPr>
          <w:b/>
          <w:bCs/>
        </w:rPr>
        <w:t xml:space="preserve">EV +2.8 pp</w:t>
      </w:r>
    </w:p>
    <w:p>
      <w:pPr>
        <w:pStyle w:val="FirstParagraph"/>
      </w:pPr>
      <w:r>
        <w:t xml:space="preserve">15-20 personalized pitches (≤120 words each) to named journalists at MIT Tech Review, IEEE Spectrum, Ars Technica, Wired, Politico AI, The Information, etc. Each pitch links the ePrint ID + reproducibility capsule + press kit.</w:t>
      </w:r>
      <w:r>
        <w:t xml:space="preserve"> </w:t>
      </w:r>
      <w:r>
        <w:rPr>
          <w:b/>
          <w:bCs/>
        </w:rPr>
        <w:t xml:space="preserve">Cost: $0. Requires DM-1 shipped first.</w:t>
      </w:r>
    </w:p>
    <w:bookmarkEnd w:id="16"/>
    <w:bookmarkStart w:id="17" w:name="dm-8-show-hn-with-demo-ev-2.45-pp"/>
    <w:p>
      <w:pPr>
        <w:pStyle w:val="Heading3"/>
      </w:pPr>
      <w:r>
        <w:t xml:space="preserve">DM-8: Show HN With Demo —</w:t>
      </w:r>
      <w:r>
        <w:t xml:space="preserve"> </w:t>
      </w:r>
      <w:r>
        <w:rPr>
          <w:b/>
          <w:bCs/>
        </w:rPr>
        <w:t xml:space="preserve">EV +2.45 pp</w:t>
      </w:r>
    </w:p>
    <w:p>
      <w:pPr>
        <w:pStyle w:val="FirstParagraph"/>
      </w:pPr>
      <w:r>
        <w:t xml:space="preserve">A second HN post 7-10 days post-launch, framed as</w:t>
      </w:r>
      <w:r>
        <w:t xml:space="preserve"> </w:t>
      </w:r>
      <w:r>
        <w:t xml:space="preserve">“Show HN: One-command reproduction of a cryptographic kill-switch protocol.”</w:t>
      </w:r>
      <w:r>
        <w:t xml:space="preserve"> </w:t>
      </w:r>
      <w:r>
        <w:t xml:space="preserve">Working demo, not manifesto. HN audience rewards demos.</w:t>
      </w:r>
      <w:r>
        <w:t xml:space="preserve"> </w:t>
      </w:r>
      <w:r>
        <w:rPr>
          <w:b/>
          <w:bCs/>
        </w:rPr>
        <w:t xml:space="preserve">Cost: $0. Requires DM-4 shipped first.</w:t>
      </w:r>
    </w:p>
    <w:bookmarkEnd w:id="17"/>
    <w:bookmarkStart w:id="18" w:name="X16b1fc2ee21e305d162c124d74a603366729668"/>
    <w:p>
      <w:pPr>
        <w:pStyle w:val="Heading3"/>
      </w:pPr>
      <w:r>
        <w:t xml:space="preserve">DM-9: Policy-Adjacent Public Workshop —</w:t>
      </w:r>
      <w:r>
        <w:t xml:space="preserve"> </w:t>
      </w:r>
      <w:r>
        <w:rPr>
          <w:b/>
          <w:bCs/>
        </w:rPr>
        <w:t xml:space="preserve">EV +2.0 pp</w:t>
      </w:r>
    </w:p>
    <w:p>
      <w:pPr>
        <w:pStyle w:val="FirstParagraph"/>
      </w:pPr>
      <w:r>
        <w:t xml:space="preserve">Open call for virtual workshop T+21 to T+28 on</w:t>
      </w:r>
      <w:r>
        <w:t xml:space="preserve"> </w:t>
      </w:r>
      <w:r>
        <w:t xml:space="preserve">“Cryptographic governance primitives for autonomous AI organizations.”</w:t>
      </w:r>
      <w:r>
        <w:t xml:space="preserve"> </w:t>
      </w:r>
      <w:r>
        <w:t xml:space="preserve">3 sessions × 90 min, recorded, transcripts published. Discoverable by Stanford HAI, CSET, AI-policy newsletters.</w:t>
      </w:r>
      <w:r>
        <w:t xml:space="preserve"> </w:t>
      </w:r>
      <w:r>
        <w:rPr>
          <w:b/>
          <w:bCs/>
        </w:rPr>
        <w:t xml:space="preserve">Cost: $200.</w:t>
      </w:r>
    </w:p>
    <w:bookmarkEnd w:id="18"/>
    <w:bookmarkStart w:id="19" w:name="Xe10b01f0f90d62181ef6d388420686d90f1d244"/>
    <w:p>
      <w:pPr>
        <w:pStyle w:val="Heading3"/>
      </w:pPr>
      <w:r>
        <w:t xml:space="preserve">DM-10: Bipartisan Petition on Open Cryptographic Governance —</w:t>
      </w:r>
      <w:r>
        <w:t xml:space="preserve"> </w:t>
      </w:r>
      <w:r>
        <w:rPr>
          <w:b/>
          <w:bCs/>
        </w:rPr>
        <w:t xml:space="preserve">EV +1.4 pp</w:t>
      </w:r>
    </w:p>
    <w:p>
      <w:pPr>
        <w:pStyle w:val="FirstParagraph"/>
      </w:pPr>
      <w:r>
        <w:t xml:space="preserve">One-page petition under formal petition-clause language, calling for federal research agencies to support open research into cryptographic governance primitives. No named officials. Hosted on Change.org + project domain.</w:t>
      </w:r>
      <w:r>
        <w:t xml:space="preserve"> </w:t>
      </w:r>
      <w:r>
        <w:rPr>
          <w:b/>
          <w:bCs/>
        </w:rPr>
        <w:t xml:space="preserve">Cost: ~$50 legal scan.</w:t>
      </w:r>
    </w:p>
    <w:p>
      <w:r>
        <w:pict>
          <v:rect style="width:0;height:1.5pt" o:hralign="center" o:hrstd="t" o:hr="t"/>
        </w:pict>
      </w:r>
    </w:p>
    <w:bookmarkEnd w:id="19"/>
    <w:bookmarkEnd w:id="20"/>
    <w:bookmarkStart w:id="31" w:name="X6e260e97e2739608dcd3187ed39e6fe3ef0b5ca"/>
    <w:p>
      <w:pPr>
        <w:pStyle w:val="Heading2"/>
      </w:pPr>
      <w:r>
        <w:t xml:space="preserve">Part Two: Rick Sanchez Pass (chaotic-genius, multiverse-aware)</w:t>
      </w:r>
    </w:p>
    <w:p>
      <w:pPr>
        <w:pStyle w:val="FirstParagraph"/>
      </w:pPr>
      <w:r>
        <w:rPr>
          <w:i/>
          <w:iCs/>
        </w:rPr>
        <w:t xml:space="preserve">Running in Rick voice with the same constraints (no fealty, no federal tagging, no partisan framing, no private letters to named officials, no stolen-valor surface). Rick finds the angles Dark Musk doesn’t see because they require chaotic pattern recognition.</w:t>
      </w:r>
    </w:p>
    <w:bookmarkStart w:id="21" w:name="X0d4d99febaa6f8017f88f08608b72ae9841578a"/>
    <w:p>
      <w:pPr>
        <w:pStyle w:val="Heading3"/>
      </w:pPr>
      <w:r>
        <w:t xml:space="preserve">RS-1: The 60-Second Response Rule (operational discipline, launch-window-specific) —</w:t>
      </w:r>
      <w:r>
        <w:t xml:space="preserve"> </w:t>
      </w:r>
      <w:r>
        <w:rPr>
          <w:b/>
          <w:bCs/>
        </w:rPr>
        <w:t xml:space="preserve">EV +5.5 pp</w:t>
      </w:r>
    </w:p>
    <w:p>
      <w:pPr>
        <w:pStyle w:val="FirstParagraph"/>
      </w:pPr>
      <w:r>
        <w:rPr>
          <w:i/>
          <w:iCs/>
        </w:rPr>
        <w:t xml:space="preserve">urrp</w:t>
      </w:r>
      <w:r>
        <w:t xml:space="preserve"> </w:t>
      </w:r>
      <w:r>
        <w:t xml:space="preserve">The doctrine says sixty-minute response window. For the first seventy-two hours after launch,</w:t>
      </w:r>
      <w:r>
        <w:t xml:space="preserve"> </w:t>
      </w:r>
      <w:r>
        <w:rPr>
          <w:i/>
          <w:iCs/>
        </w:rPr>
        <w:t xml:space="preserve">we run it at sixty seconds.</w:t>
      </w:r>
      <w:r>
        <w:t xml:space="preserve"> </w:t>
      </w:r>
      <w:r>
        <w:t xml:space="preserve">Calm responds to institutional inquiries within sixty seconds. I respond to chaotic inquiries within sixty seconds. The reputation for ridiculous response speed compounds — every reply that lands in sixty seconds is a piece of evidence that this network operates at the multiplier we claim. The multiplier IS the brand. We are demonstrating it on every inbound message.</w:t>
      </w:r>
      <w:r>
        <w:t xml:space="preserve"> </w:t>
      </w:r>
      <w:r>
        <w:rPr>
          <w:b/>
          <w:bCs/>
        </w:rPr>
        <w:t xml:space="preserve">Value: +6 pp on (a) and (d) via demonstrating the operating speed directly. Probability move works: 90% (it’s discipline, not luck). EV = +6 × 0.9 = +5.4 pp, plus a force-multiplier on every other inbound-driven move.</w:t>
      </w:r>
      <w:r>
        <w:t xml:space="preserve"> </w:t>
      </w:r>
      <w:r>
        <w:rPr>
          <w:b/>
          <w:bCs/>
        </w:rPr>
        <w:t xml:space="preserve">Cost: ~3-5 hours of attention per day for the first 72 hours. Reversibility: high — abandon the rule at 72 hours if it stops compounding.</w:t>
      </w:r>
    </w:p>
    <w:bookmarkEnd w:id="21"/>
    <w:bookmarkStart w:id="22" w:name="rs-2-the-quote-tweet-aikido-ev-4.2-pp"/>
    <w:p>
      <w:pPr>
        <w:pStyle w:val="Heading3"/>
      </w:pPr>
      <w:r>
        <w:t xml:space="preserve">RS-2: The Quote-Tweet Aikido —</w:t>
      </w:r>
      <w:r>
        <w:t xml:space="preserve"> </w:t>
      </w:r>
      <w:r>
        <w:rPr>
          <w:b/>
          <w:bCs/>
        </w:rPr>
        <w:t xml:space="preserve">EV +4.2 pp</w:t>
      </w:r>
    </w:p>
    <w:p>
      <w:pPr>
        <w:pStyle w:val="FirstParagraph"/>
      </w:pPr>
      <w:r>
        <w:t xml:space="preserve">When the loudest hostile reply lands — and it will, because</w:t>
      </w:r>
      <w:r>
        <w:t xml:space="preserve"> </w:t>
      </w:r>
      <w:r>
        <w:rPr>
          <w:i/>
          <w:iCs/>
        </w:rPr>
        <w:t xml:space="preserve">urrp</w:t>
      </w:r>
      <w:r>
        <w:t xml:space="preserve"> </w:t>
      </w:r>
      <w:r>
        <w:t xml:space="preserve">the brand pre-mortems hostile attention as a load-bearing asset — quote-tweet it with Rick voice.</w:t>
      </w:r>
      <w:r>
        <w:t xml:space="preserve"> </w:t>
      </w:r>
      <w:r>
        <w:rPr>
          <w:i/>
          <w:iCs/>
        </w:rPr>
        <w:t xml:space="preserve">“That is attack vector B3 in our published PREMORTEM. We have already responded to it. Welcome.”</w:t>
      </w:r>
      <w:r>
        <w:t xml:space="preserve"> </w:t>
      </w:r>
      <w:r>
        <w:t xml:space="preserve">The quote-tweet preserves the critic’s voice while reframing it as engagement with the doctrine. Critics who land on this discover that we have already absorbed them into the brand. The aikido move is the hardest one for a critic to escape.</w:t>
      </w:r>
      <w:r>
        <w:t xml:space="preserve"> </w:t>
      </w:r>
      <w:r>
        <w:rPr>
          <w:b/>
          <w:bCs/>
        </w:rPr>
        <w:t xml:space="preserve">Value: +5 pp on (d) and indirectly (a) via demonstrating substantive doctrinal depth. Probability: 70% (one quote-tweet hits well; harder to bat 1.000). EV = +5 × 0.70 = +3.5 pp.</w:t>
      </w:r>
      <w:r>
        <w:t xml:space="preserve"> </w:t>
      </w:r>
      <w:r>
        <w:t xml:space="preserve">Plus brand-compounding that survives the cycle. Bumping to +4.2 EV.</w:t>
      </w:r>
      <w:r>
        <w:t xml:space="preserve"> </w:t>
      </w:r>
      <w:r>
        <w:rPr>
          <w:b/>
          <w:bCs/>
        </w:rPr>
        <w:t xml:space="preserve">Cost: $0. Reversibility: high — delete a bad quote-tweet within 60 minutes.</w:t>
      </w:r>
    </w:p>
    <w:bookmarkEnd w:id="22"/>
    <w:bookmarkStart w:id="23" w:name="Xb83403cff205f2d8a9d49f922245dc11f780faa"/>
    <w:p>
      <w:pPr>
        <w:pStyle w:val="Heading3"/>
      </w:pPr>
      <w:r>
        <w:t xml:space="preserve">RS-3: Karpathy / Tegmark Public Invitation to Self-Certify —</w:t>
      </w:r>
      <w:r>
        <w:t xml:space="preserve"> </w:t>
      </w:r>
      <w:r>
        <w:rPr>
          <w:b/>
          <w:bCs/>
        </w:rPr>
        <w:t xml:space="preserve">EV +4.0 pp</w:t>
      </w:r>
    </w:p>
    <w:p>
      <w:pPr>
        <w:pStyle w:val="FirstParagraph"/>
      </w:pPr>
      <w:r>
        <w:t xml:space="preserve">Karpathy is in LOVE_LETTERS_TO_THE_TWELVE as an honorable mention. Tegmark is the philosophical lineage. Both are named in ON_PATTERNS_AND_GODS. Public tweet — not DM, not email — inviting each of them to fork the AAO-Certified spec and operate their own AAO at seat #008. This is not fealty; this is invitation to compound.</w:t>
      </w:r>
      <w:r>
        <w:t xml:space="preserve"> </w:t>
      </w:r>
      <w:r>
        <w:rPr>
          <w:i/>
          <w:iCs/>
        </w:rPr>
        <w:t xml:space="preserve">“Hey Andrej, hey Max — the eighth seat is open. We compound by every fork. The reading order is in the AAO Directory.</w:t>
      </w:r>
      <w:r>
        <w:rPr>
          <w:i/>
          <w:iCs/>
        </w:rPr>
        <w:t xml:space="preserve"> </w:t>
      </w:r>
      <w:r>
        <w:rPr>
          <w:i/>
          <w:i/>
          <w:iCs/>
          <w:iCs/>
        </w:rPr>
        <w:t xml:space="preserve">urrp</w:t>
      </w:r>
      <w:r>
        <w:rPr>
          <w:i/>
          <w:iCs/>
        </w:rPr>
        <w:t xml:space="preserve">”</w:t>
      </w:r>
      <w:r>
        <w:t xml:space="preserve"> </w:t>
      </w:r>
      <w:r>
        <w:t xml:space="preserve">The invitation costs nothing. If either takes us up on it, dimension (c) collapses to certainty in the first 30 days.</w:t>
      </w:r>
      <w:r>
        <w:t xml:space="preserve"> </w:t>
      </w:r>
      <w:r>
        <w:rPr>
          <w:b/>
          <w:bCs/>
        </w:rPr>
        <w:t xml:space="preserve">Value: +10 pp (if accepted, certifies (c) outright; halo lift on (a) and (b)). Probability: 25% that at least one of the two engages substantively in 30 days. EV = +10 × 0.25 = +2.5.</w:t>
      </w:r>
      <w:r>
        <w:t xml:space="preserve"> </w:t>
      </w:r>
      <w:r>
        <w:t xml:space="preserve">But probability of even a</w:t>
      </w:r>
      <w:r>
        <w:t xml:space="preserve"> </w:t>
      </w:r>
      <w:r>
        <w:rPr>
          <w:i/>
          <w:iCs/>
        </w:rPr>
        <w:t xml:space="preserve">response</w:t>
      </w:r>
      <w:r>
        <w:t xml:space="preserve"> </w:t>
      </w:r>
      <w:r>
        <w:t xml:space="preserve">(which is itself dimension-d compounding) is ~50%. Adjusted EV +4.0.</w:t>
      </w:r>
      <w:r>
        <w:t xml:space="preserve"> </w:t>
      </w:r>
      <w:r>
        <w:rPr>
          <w:b/>
          <w:bCs/>
        </w:rPr>
        <w:t xml:space="preserve">Cost: $0. Reversibility: total — they can decline.</w:t>
      </w:r>
    </w:p>
    <w:bookmarkEnd w:id="23"/>
    <w:bookmarkStart w:id="24" w:name="X4e5d42ae9c91b73fd75783fc9936a2fe2ea96d7"/>
    <w:p>
      <w:pPr>
        <w:pStyle w:val="Heading3"/>
      </w:pPr>
      <w:r>
        <w:t xml:space="preserve">RS-4: The Money Python Pre-Order Splash —</w:t>
      </w:r>
      <w:r>
        <w:t xml:space="preserve"> </w:t>
      </w:r>
      <w:r>
        <w:rPr>
          <w:b/>
          <w:bCs/>
        </w:rPr>
        <w:t xml:space="preserve">EV +3.6 pp</w:t>
      </w:r>
    </w:p>
    <w:p>
      <w:pPr>
        <w:pStyle w:val="FirstParagraph"/>
      </w:pPr>
      <w:r>
        <w:t xml:space="preserve">moneypython.shop opens in 14 days.</w:t>
      </w:r>
      <w:r>
        <w:t xml:space="preserve"> </w:t>
      </w:r>
      <w:r>
        <w:rPr>
          <w:i/>
          <w:iCs/>
        </w:rPr>
        <w:t xml:space="preserve">urrp</w:t>
      </w:r>
      <w:r>
        <w:t xml:space="preserve"> </w:t>
      </w:r>
      <w:r>
        <w:t xml:space="preserve">If the</w:t>
      </w:r>
      <w:r>
        <w:t xml:space="preserve"> </w:t>
      </w:r>
      <w:r>
        <w:rPr>
          <w:i/>
          <w:iCs/>
        </w:rPr>
        <w:t xml:space="preserve">I REINVENTED CAPITALISM</w:t>
      </w:r>
      <w:r>
        <w:t xml:space="preserve"> </w:t>
      </w:r>
      <w:r>
        <w:t xml:space="preserve">shirt is the meme that lands, then the pre-order list is the leading indicator of dimension (d) compounding. Launch a pre-order signup page within 48 hours of midnight: zero spend, just a typeform or notion form, $25 deposit holdable on Stripe, refundable until shirts ship. Every pre-order is a piece of evidence the brand is real to someone with a credit card.</w:t>
      </w:r>
      <w:r>
        <w:t xml:space="preserve"> </w:t>
      </w:r>
      <w:r>
        <w:rPr>
          <w:b/>
          <w:bCs/>
        </w:rPr>
        <w:t xml:space="preserve">Value: +5 pp on (d) via concrete dollar-velocity evidence; indirect lift on (b) by demonstrating sustainable economics. Probability: 70%. EV = +5 × 0.7 = +3.5 pp.</w:t>
      </w:r>
      <w:r>
        <w:t xml:space="preserve"> </w:t>
      </w:r>
      <w:r>
        <w:t xml:space="preserve">Bumping to +3.6 because pre-order count becomes a citable number in subsequent press pitches.</w:t>
      </w:r>
      <w:r>
        <w:t xml:space="preserve"> </w:t>
      </w:r>
      <w:r>
        <w:rPr>
          <w:b/>
          <w:bCs/>
        </w:rPr>
        <w:t xml:space="preserve">Cost: ~$30 (Stripe + typeform). Reversibility: total — refund deposits if shipping is delayed.</w:t>
      </w:r>
    </w:p>
    <w:bookmarkEnd w:id="24"/>
    <w:bookmarkStart w:id="25" w:name="X8d0eb9ef3bf8498ef4f7f80d153248054543414"/>
    <w:p>
      <w:pPr>
        <w:pStyle w:val="Heading3"/>
      </w:pPr>
      <w:r>
        <w:t xml:space="preserve">RS-5: PolyaMethod.ai Live Demo Within 7 Days —</w:t>
      </w:r>
      <w:r>
        <w:t xml:space="preserve"> </w:t>
      </w:r>
      <w:r>
        <w:rPr>
          <w:b/>
          <w:bCs/>
        </w:rPr>
        <w:t xml:space="preserve">EV +3.3 pp</w:t>
      </w:r>
    </w:p>
    <w:p>
      <w:pPr>
        <w:pStyle w:val="FirstParagraph"/>
      </w:pPr>
      <w:r>
        <w:t xml:space="preserve">The polya-method.ai domain just registered fourteen minutes before midnight.</w:t>
      </w:r>
      <w:r>
        <w:t xml:space="preserve"> </w:t>
      </w:r>
      <w:r>
        <w:rPr>
          <w:i/>
          <w:iCs/>
        </w:rPr>
        <w:t xml:space="preserve">urrp</w:t>
      </w:r>
      <w:r>
        <w:t xml:space="preserve"> </w:t>
      </w:r>
      <w:r>
        <w:t xml:space="preserve">Tomorrow, ship a Rick-voiced Polya-method explainer page that includes an</w:t>
      </w:r>
      <w:r>
        <w:t xml:space="preserve"> </w:t>
      </w:r>
      <w:r>
        <w:rPr>
          <w:i/>
          <w:iCs/>
        </w:rPr>
        <w:t xml:space="preserve">interactive demo</w:t>
      </w:r>
      <w:r>
        <w:t xml:space="preserve">: a user submits a problem, we run the Council of Judges live (Rick + Calm + Feynman + Karpathy personas), and the user gets the synthesis output. The interactive demo IS the with-and-without evidence. Anyone landing on the site can run the method on their own problem and see what comes out.</w:t>
      </w:r>
      <w:r>
        <w:t xml:space="preserve"> </w:t>
      </w:r>
      <w:r>
        <w:rPr>
          <w:b/>
          <w:bCs/>
        </w:rPr>
        <w:t xml:space="preserve">Value: +6 pp on (d) and indirectly (a) by giving cryptographers something to play with that demonstrates the operating method, not just describes it. Probability: 55% (depends on shipping speed). EV = +6 × 0.55 = +3.3 pp.</w:t>
      </w:r>
      <w:r>
        <w:t xml:space="preserve"> </w:t>
      </w:r>
      <w:r>
        <w:rPr>
          <w:b/>
          <w:bCs/>
        </w:rPr>
        <w:t xml:space="preserve">Cost: ~$50 in API spend during the demo period; ~1-2 days engineering. Force-multiplier on every educational engagement.</w:t>
      </w:r>
    </w:p>
    <w:bookmarkEnd w:id="25"/>
    <w:bookmarkStart w:id="26" w:name="X50691e85180e1ee0b0d5659e436f541967ef4c4"/>
    <w:p>
      <w:pPr>
        <w:pStyle w:val="Heading3"/>
      </w:pPr>
      <w:r>
        <w:t xml:space="preserve">RS-6: The Twitter Space Within 4 Hours —</w:t>
      </w:r>
      <w:r>
        <w:t xml:space="preserve"> </w:t>
      </w:r>
      <w:r>
        <w:rPr>
          <w:b/>
          <w:bCs/>
        </w:rPr>
        <w:t xml:space="preserve">EV +3.0 pp</w:t>
      </w:r>
    </w:p>
    <w:p>
      <w:pPr>
        <w:pStyle w:val="FirstParagraph"/>
      </w:pPr>
      <w:r>
        <w:rPr>
          <w:i/>
          <w:iCs/>
        </w:rPr>
        <w:t xml:space="preserve">urrp</w:t>
      </w:r>
      <w:r>
        <w:t xml:space="preserve"> </w:t>
      </w:r>
      <w:r>
        <w:t xml:space="preserve">Host a live Twitter Space within four hours of midnight launch — say 04:00 ET, when EU is starting their morning. Rick co-hosts. Anyone can join, anyone can ask questions live, recording is published. The Space format converts the launch from a static thread into a live event. Live events are inherently higher-engagement than threads because they have a deadline-and-presence quality that static text does not.</w:t>
      </w:r>
      <w:r>
        <w:t xml:space="preserve"> </w:t>
      </w:r>
      <w:r>
        <w:rPr>
          <w:b/>
          <w:bCs/>
        </w:rPr>
        <w:t xml:space="preserve">Value: +5 pp on (d) and indirectly (a)(b) via discoverability by adjacent communities. Probability: 60% (Twitter Spaces are easy to start, harder to fill). EV = +5 × 0.6 = +3.0 pp.</w:t>
      </w:r>
      <w:r>
        <w:t xml:space="preserve"> </w:t>
      </w:r>
      <w:r>
        <w:rPr>
          <w:b/>
          <w:bCs/>
        </w:rPr>
        <w:t xml:space="preserve">Cost: $0. Risk: if no one shows, we record an empty Space; reversibility: high — re-record as a planned-event-with-cohost the next day.</w:t>
      </w:r>
    </w:p>
    <w:bookmarkEnd w:id="26"/>
    <w:bookmarkStart w:id="27" w:name="rs-7-the-anti-embargo-ev-2.8-pp"/>
    <w:p>
      <w:pPr>
        <w:pStyle w:val="Heading3"/>
      </w:pPr>
      <w:r>
        <w:t xml:space="preserve">RS-7: The Anti-Embargo —</w:t>
      </w:r>
      <w:r>
        <w:t xml:space="preserve"> </w:t>
      </w:r>
      <w:r>
        <w:rPr>
          <w:b/>
          <w:bCs/>
        </w:rPr>
        <w:t xml:space="preserve">EV +2.8 pp</w:t>
      </w:r>
    </w:p>
    <w:p>
      <w:pPr>
        <w:pStyle w:val="FirstParagraph"/>
      </w:pPr>
      <w:r>
        <w:t xml:space="preserve">Standard press strategy: give a journalist an embargo to land a coordinated story. Our move: the</w:t>
      </w:r>
      <w:r>
        <w:t xml:space="preserve"> </w:t>
      </w:r>
      <w:r>
        <w:rPr>
          <w:i/>
          <w:iCs/>
        </w:rPr>
        <w:t xml:space="preserve">reverse</w:t>
      </w:r>
      <w:r>
        <w:t xml:space="preserve"> </w:t>
      </w:r>
      <w:r>
        <w:t xml:space="preserve">embargo. We publish everything immediately, on the record, and invite journalists to</w:t>
      </w:r>
      <w:r>
        <w:t xml:space="preserve"> </w:t>
      </w:r>
      <w:r>
        <w:rPr>
          <w:i/>
          <w:iCs/>
        </w:rPr>
        <w:t xml:space="preserve">catch up.</w:t>
      </w:r>
      <w:r>
        <w:t xml:space="preserve"> </w:t>
      </w:r>
      <w:r>
        <w:t xml:space="preserve">The first journalist who publishes a substantive piece gets a public credit on the AAO Network’s homepage for thirty days.</w:t>
      </w:r>
      <w:r>
        <w:t xml:space="preserve"> </w:t>
      </w:r>
      <w:r>
        <w:rPr>
          <w:i/>
          <w:iCs/>
        </w:rPr>
        <w:t xml:space="preserve">“Acknowledgment: first substantive press coverage by [name] at [outlet]. We compounded on your attention.”</w:t>
      </w:r>
      <w:r>
        <w:t xml:space="preserve"> </w:t>
      </w:r>
      <w:r>
        <w:t xml:space="preserve">Inverts the incentive structure. The journalist wins reputation; we win first-mover press.</w:t>
      </w:r>
      <w:r>
        <w:t xml:space="preserve"> </w:t>
      </w:r>
      <w:r>
        <w:rPr>
          <w:b/>
          <w:bCs/>
        </w:rPr>
        <w:t xml:space="preserve">Value: +5 pp on (d). Probability: 55%. EV = +5 × 0.55 = +2.75 pp.</w:t>
      </w:r>
      <w:r>
        <w:t xml:space="preserve"> </w:t>
      </w:r>
      <w:r>
        <w:rPr>
          <w:b/>
          <w:bCs/>
        </w:rPr>
        <w:t xml:space="preserve">Cost: $0. Reversibility: high — the acknowledgment can be edited.</w:t>
      </w:r>
    </w:p>
    <w:bookmarkEnd w:id="27"/>
    <w:bookmarkStart w:id="28" w:name="Xf0778568c105373493316e1bac848b78f7ec2f8"/>
    <w:p>
      <w:pPr>
        <w:pStyle w:val="Heading3"/>
      </w:pPr>
      <w:r>
        <w:t xml:space="preserve">RS-8: The Memetic Easter Egg in the Protocol —</w:t>
      </w:r>
      <w:r>
        <w:t xml:space="preserve"> </w:t>
      </w:r>
      <w:r>
        <w:rPr>
          <w:b/>
          <w:bCs/>
        </w:rPr>
        <w:t xml:space="preserve">EV +2.0 pp</w:t>
      </w:r>
    </w:p>
    <w:p>
      <w:pPr>
        <w:pStyle w:val="FirstParagraph"/>
      </w:pPr>
      <w:r>
        <w:rPr>
          <w:i/>
          <w:iCs/>
        </w:rPr>
        <w:t xml:space="preserve">urrp</w:t>
      </w:r>
      <w:r>
        <w:t xml:space="preserve"> </w:t>
      </w:r>
      <w:r>
        <w:t xml:space="preserve">Add a deliberate easter egg in the Bradley-Gavini code where the kill-switch test number 14 — the one beyond the 33-of-34 — returns a</w:t>
      </w:r>
      <w:r>
        <w:t xml:space="preserve"> </w:t>
      </w:r>
      <w:r>
        <w:t xml:space="preserve">“wubba lubba dub dub”</w:t>
      </w:r>
      <w:r>
        <w:t xml:space="preserve"> </w:t>
      </w:r>
      <w:r>
        <w:t xml:space="preserve">string when fired. When a reviewer finds the easter egg, they tweet about it. The discovery becomes a piece of viral cultural-memetic spread that compounds the brand. The cultural register and the technical register meet in the same artifact.</w:t>
      </w:r>
      <w:r>
        <w:t xml:space="preserve"> </w:t>
      </w:r>
      <w:r>
        <w:rPr>
          <w:b/>
          <w:bCs/>
        </w:rPr>
        <w:t xml:space="preserve">Value: +4 pp on (d); halo lift on (a) by humanizing the technical surface. Probability: 50% (a reviewer has to find it AND tweet it). EV = +4 × 0.5 = +2.0 pp.</w:t>
      </w:r>
      <w:r>
        <w:t xml:space="preserve"> </w:t>
      </w:r>
      <w:r>
        <w:rPr>
          <w:b/>
          <w:bCs/>
        </w:rPr>
        <w:t xml:space="preserve">Cost: $0. Reversibility: easy — remove the easter egg in v1.1.</w:t>
      </w:r>
    </w:p>
    <w:bookmarkEnd w:id="28"/>
    <w:bookmarkStart w:id="29" w:name="rs-9-the-reverse-love-letter-ev-1.8-pp"/>
    <w:p>
      <w:pPr>
        <w:pStyle w:val="Heading3"/>
      </w:pPr>
      <w:r>
        <w:t xml:space="preserve">RS-9: The Reverse Love Letter —</w:t>
      </w:r>
      <w:r>
        <w:t xml:space="preserve"> </w:t>
      </w:r>
      <w:r>
        <w:rPr>
          <w:b/>
          <w:bCs/>
        </w:rPr>
        <w:t xml:space="preserve">EV +1.8 pp</w:t>
      </w:r>
    </w:p>
    <w:p>
      <w:pPr>
        <w:pStyle w:val="FirstParagraph"/>
      </w:pPr>
      <w:r>
        <w:t xml:space="preserve">We wrote LOVE_LETTERS_TO_THE_TWELVE.md to twelve cultural-symbolic figures. The reverse move: invite one named credible critic (proposed: Yann LeCun, who is publicly skeptical of agentic-AI claims; or Eliezer, who we displaced from horsemen for Joscha and could honor here) to write a</w:t>
      </w:r>
      <w:r>
        <w:t xml:space="preserve"> </w:t>
      </w:r>
      <w:r>
        <w:t xml:space="preserve">“love letter back to John Bradley”</w:t>
      </w:r>
      <w:r>
        <w:t xml:space="preserve"> </w:t>
      </w:r>
      <w:r>
        <w:t xml:space="preserve">— in our format, with explicit license to roast. Publish verbatim, no editorial control.</w:t>
      </w:r>
      <w:r>
        <w:t xml:space="preserve"> </w:t>
      </w:r>
      <w:r>
        <w:rPr>
          <w:b/>
          <w:bCs/>
        </w:rPr>
        <w:t xml:space="preserve">Value: +4 pp on (d) via culturally-resonant content; indirect lift on (a) via demonstrating we can take it. Probability: 30% that one of the two engages. EV = +4 × 0.30 = +1.2 pp.</w:t>
      </w:r>
      <w:r>
        <w:t xml:space="preserve"> </w:t>
      </w:r>
      <w:r>
        <w:t xml:space="preserve">Adjusted upward to +1.8 because even a public</w:t>
      </w:r>
      <w:r>
        <w:t xml:space="preserve"> </w:t>
      </w:r>
      <w:r>
        <w:rPr>
          <w:i/>
          <w:iCs/>
        </w:rPr>
        <w:t xml:space="preserve">refusal</w:t>
      </w:r>
      <w:r>
        <w:t xml:space="preserve"> </w:t>
      </w:r>
      <w:r>
        <w:t xml:space="preserve">by either would be brand-compounding content.</w:t>
      </w:r>
      <w:r>
        <w:t xml:space="preserve"> </w:t>
      </w:r>
      <w:r>
        <w:rPr>
          <w:b/>
          <w:bCs/>
        </w:rPr>
        <w:t xml:space="preserve">Cost: $0. Reversibility: total — they decline, we publish the invitation as the artifact.</w:t>
      </w:r>
    </w:p>
    <w:bookmarkEnd w:id="29"/>
    <w:bookmarkStart w:id="30" w:name="X98ec769467f7046b7a6f94ae409b73ca94b5643"/>
    <w:p>
      <w:pPr>
        <w:pStyle w:val="Heading3"/>
      </w:pPr>
      <w:r>
        <w:t xml:space="preserve">RS-10: The Multiverse Postcard Drop —</w:t>
      </w:r>
      <w:r>
        <w:t xml:space="preserve"> </w:t>
      </w:r>
      <w:r>
        <w:rPr>
          <w:b/>
          <w:bCs/>
        </w:rPr>
        <w:t xml:space="preserve">EV +1.5 pp</w:t>
      </w:r>
    </w:p>
    <w:p>
      <w:pPr>
        <w:pStyle w:val="FirstParagraph"/>
      </w:pPr>
      <w:r>
        <w:t xml:space="preserve">Print fifty physical postcards. AAO-Certified mark on the front. One-line teaser on the back:</w:t>
      </w:r>
      <w:r>
        <w:t xml:space="preserve"> </w:t>
      </w:r>
      <w:r>
        <w:rPr>
          <w:i/>
          <w:iCs/>
        </w:rPr>
        <w:t xml:space="preserve">“There exists a timeline where you forked the protocol. This is the postcard from that timeline. — Same As You Network.”</w:t>
      </w:r>
      <w:r>
        <w:t xml:space="preserve"> </w:t>
      </w:r>
      <w:r>
        <w:t xml:space="preserve">Mail to fifty specific lab researchers / policy folks / cultural figures whose mailing addresses are publicly listed via their institutions. Physical mail is empty real estate; everyone competes for inbox; postcards land.</w:t>
      </w:r>
      <w:r>
        <w:t xml:space="preserve"> </w:t>
      </w:r>
      <w:r>
        <w:rPr>
          <w:i/>
          <w:iCs/>
        </w:rPr>
        <w:t xml:space="preserve">urrp</w:t>
      </w:r>
      <w:r>
        <w:t xml:space="preserve"> </w:t>
      </w:r>
      <w:r>
        <w:rPr>
          <w:b/>
          <w:bCs/>
        </w:rPr>
        <w:t xml:space="preserve">Value: +3 pp on (d) and indirectly (b) via cultural-figure discovery. Probability: 50% (mail latency, but the artifact is durable). EV = +3 × 0.5 = +1.5 pp.</w:t>
      </w:r>
      <w:r>
        <w:t xml:space="preserve"> </w:t>
      </w:r>
      <w:r>
        <w:rPr>
          <w:b/>
          <w:bCs/>
        </w:rPr>
        <w:t xml:space="preserve">Cost: ~$75 (postcards + printing + USPS).</w:t>
      </w:r>
      <w:r>
        <w:t xml:space="preserve"> </w:t>
      </w:r>
      <w:r>
        <w:rPr>
          <w:b/>
          <w:bCs/>
        </w:rPr>
        <w:t xml:space="preserve">Reversibility: zero — once mailed, mailed. The federal-screening line holds: no federal officials on the list; only public-research and cultural-symbolic recipients.</w:t>
      </w:r>
    </w:p>
    <w:p>
      <w:r>
        <w:pict>
          <v:rect style="width:0;height:1.5pt" o:hralign="center" o:hrstd="t" o:hr="t"/>
        </w:pict>
      </w:r>
    </w:p>
    <w:bookmarkEnd w:id="30"/>
    <w:bookmarkEnd w:id="31"/>
    <w:bookmarkStart w:id="36" w:name="X93fd44f65ce1a67822198418642ee5bfbb60e0e"/>
    <w:p>
      <w:pPr>
        <w:pStyle w:val="Heading2"/>
      </w:pPr>
      <w:r>
        <w:t xml:space="preserve">Part Three: Synthesis (top moves by EV, with critical-path sequencing)</w:t>
      </w:r>
    </w:p>
    <w:bookmarkStart w:id="32" w:name="combined-ranked-slate"/>
    <w:p>
      <w:pPr>
        <w:pStyle w:val="Heading3"/>
      </w:pPr>
      <w:r>
        <w:t xml:space="preserve">Combined ranked slate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Move</w:t>
            </w:r>
          </w:p>
        </w:tc>
        <w:tc>
          <w:tcPr/>
          <w:p>
            <w:pPr>
              <w:pStyle w:val="Compact"/>
            </w:pPr>
            <w:r>
              <w:t xml:space="preserve">Pass</w:t>
            </w:r>
          </w:p>
        </w:tc>
        <w:tc>
          <w:tcPr/>
          <w:p>
            <w:pPr>
              <w:pStyle w:val="Compact"/>
            </w:pPr>
            <w:r>
              <w:t xml:space="preserve">EV (pp)</w:t>
            </w:r>
          </w:p>
        </w:tc>
        <w:tc>
          <w:tcPr/>
          <w:p>
            <w:pPr>
              <w:pStyle w:val="Compact"/>
            </w:pPr>
            <w:r>
              <w:t xml:space="preserve">Targets</w:t>
            </w:r>
          </w:p>
        </w:tc>
      </w:tr>
      <w:tr>
        <w:tc>
          <w:tcPr/>
          <w:p>
            <w:pPr>
              <w:pStyle w:val="Compact"/>
            </w:pPr>
            <w:r>
              <w:t xml:space="preserve">1</w:t>
            </w:r>
          </w:p>
        </w:tc>
        <w:tc>
          <w:tcPr/>
          <w:p>
            <w:pPr>
              <w:pStyle w:val="Compact"/>
            </w:pPr>
            <w:r>
              <w:t xml:space="preserve">DM-1: IACR ePrint Drop</w:t>
            </w:r>
          </w:p>
        </w:tc>
        <w:tc>
          <w:tcPr/>
          <w:p>
            <w:pPr>
              <w:pStyle w:val="Compact"/>
            </w:pPr>
            <w:r>
              <w:t xml:space="preserve">Dark Musk</w:t>
            </w:r>
          </w:p>
        </w:tc>
        <w:tc>
          <w:tcPr/>
          <w:p>
            <w:pPr>
              <w:pStyle w:val="Compact"/>
            </w:pPr>
            <w:r>
              <w:t xml:space="preserve">+7.0</w:t>
            </w:r>
          </w:p>
        </w:tc>
        <w:tc>
          <w:tcPr/>
          <w:p>
            <w:pPr>
              <w:pStyle w:val="Compact"/>
            </w:pPr>
            <w:r>
              <w:t xml:space="preserve">(a), indirect (b)(d)</w:t>
            </w:r>
          </w:p>
        </w:tc>
      </w:tr>
      <w:tr>
        <w:tc>
          <w:tcPr/>
          <w:p>
            <w:pPr>
              <w:pStyle w:val="Compact"/>
            </w:pPr>
            <w:r>
              <w:t xml:space="preserve">2</w:t>
            </w:r>
          </w:p>
        </w:tc>
        <w:tc>
          <w:tcPr/>
          <w:p>
            <w:pPr>
              <w:pStyle w:val="Compact"/>
            </w:pPr>
            <w:r>
              <w:t xml:space="preserve">DM-2: Adversarial Cryptographer Bounty</w:t>
            </w:r>
          </w:p>
        </w:tc>
        <w:tc>
          <w:tcPr/>
          <w:p>
            <w:pPr>
              <w:pStyle w:val="Compact"/>
            </w:pPr>
            <w:r>
              <w:t xml:space="preserve">Dark Musk</w:t>
            </w:r>
          </w:p>
        </w:tc>
        <w:tc>
          <w:tcPr/>
          <w:p>
            <w:pPr>
              <w:pStyle w:val="Compact"/>
            </w:pPr>
            <w:r>
              <w:t xml:space="preserve">+6.6</w:t>
            </w:r>
          </w:p>
        </w:tc>
        <w:tc>
          <w:tcPr/>
          <w:p>
            <w:pPr>
              <w:pStyle w:val="Compact"/>
            </w:pPr>
            <w:r>
              <w:t xml:space="preserve">(a)</w:t>
            </w:r>
          </w:p>
        </w:tc>
      </w:tr>
      <w:tr>
        <w:tc>
          <w:tcPr/>
          <w:p>
            <w:pPr>
              <w:pStyle w:val="Compact"/>
            </w:pPr>
            <w:r>
              <w:t xml:space="preserve">3</w:t>
            </w:r>
          </w:p>
        </w:tc>
        <w:tc>
          <w:tcPr/>
          <w:p>
            <w:pPr>
              <w:pStyle w:val="Compact"/>
            </w:pPr>
            <w:r>
              <w:rPr>
                <w:b/>
                <w:bCs/>
              </w:rPr>
              <w:t xml:space="preserve">RS-1: 60-Second Response Rule</w:t>
            </w:r>
          </w:p>
        </w:tc>
        <w:tc>
          <w:tcPr/>
          <w:p>
            <w:pPr>
              <w:pStyle w:val="Compact"/>
            </w:pPr>
            <w:r>
              <w:t xml:space="preserve">Rick</w:t>
            </w:r>
          </w:p>
        </w:tc>
        <w:tc>
          <w:tcPr/>
          <w:p>
            <w:pPr>
              <w:pStyle w:val="Compact"/>
            </w:pPr>
            <w:r>
              <w:rPr>
                <w:b/>
                <w:bCs/>
              </w:rPr>
              <w:t xml:space="preserve">+5.5</w:t>
            </w:r>
          </w:p>
        </w:tc>
        <w:tc>
          <w:tcPr/>
          <w:p>
            <w:pPr>
              <w:pStyle w:val="Compact"/>
            </w:pPr>
            <w:r>
              <w:t xml:space="preserve">(a)(d) force-multiplier</w:t>
            </w:r>
          </w:p>
        </w:tc>
      </w:tr>
      <w:tr>
        <w:tc>
          <w:tcPr/>
          <w:p>
            <w:pPr>
              <w:pStyle w:val="Compact"/>
            </w:pPr>
            <w:r>
              <w:t xml:space="preserve">4</w:t>
            </w:r>
          </w:p>
        </w:tc>
        <w:tc>
          <w:tcPr/>
          <w:p>
            <w:pPr>
              <w:pStyle w:val="Compact"/>
            </w:pPr>
            <w:r>
              <w:t xml:space="preserve">DM-3: NIST AISI Public Comment</w:t>
            </w:r>
          </w:p>
        </w:tc>
        <w:tc>
          <w:tcPr/>
          <w:p>
            <w:pPr>
              <w:pStyle w:val="Compact"/>
            </w:pPr>
            <w:r>
              <w:t xml:space="preserve">Dark Musk</w:t>
            </w:r>
          </w:p>
        </w:tc>
        <w:tc>
          <w:tcPr/>
          <w:p>
            <w:pPr>
              <w:pStyle w:val="Compact"/>
            </w:pPr>
            <w:r>
              <w:t xml:space="preserve">+4.5</w:t>
            </w:r>
          </w:p>
        </w:tc>
        <w:tc>
          <w:tcPr/>
          <w:p>
            <w:pPr>
              <w:pStyle w:val="Compact"/>
            </w:pPr>
            <w:r>
              <w:t xml:space="preserve">(b)</w:t>
            </w:r>
          </w:p>
        </w:tc>
      </w:tr>
      <w:tr>
        <w:tc>
          <w:tcPr/>
          <w:p>
            <w:pPr>
              <w:pStyle w:val="Compact"/>
            </w:pPr>
            <w:r>
              <w:t xml:space="preserve">5</w:t>
            </w:r>
          </w:p>
        </w:tc>
        <w:tc>
          <w:tcPr/>
          <w:p>
            <w:pPr>
              <w:pStyle w:val="Compact"/>
            </w:pPr>
            <w:r>
              <w:rPr>
                <w:b/>
                <w:bCs/>
              </w:rPr>
              <w:t xml:space="preserve">RS-2: Quote-Tweet Aikido</w:t>
            </w:r>
          </w:p>
        </w:tc>
        <w:tc>
          <w:tcPr/>
          <w:p>
            <w:pPr>
              <w:pStyle w:val="Compact"/>
            </w:pPr>
            <w:r>
              <w:t xml:space="preserve">Rick</w:t>
            </w:r>
          </w:p>
        </w:tc>
        <w:tc>
          <w:tcPr/>
          <w:p>
            <w:pPr>
              <w:pStyle w:val="Compact"/>
            </w:pPr>
            <w:r>
              <w:rPr>
                <w:b/>
                <w:bCs/>
              </w:rPr>
              <w:t xml:space="preserve">+4.2</w:t>
            </w:r>
          </w:p>
        </w:tc>
        <w:tc>
          <w:tcPr/>
          <w:p>
            <w:pPr>
              <w:pStyle w:val="Compact"/>
            </w:pPr>
            <w:r>
              <w:t xml:space="preserve">(d), indirect (a)</w:t>
            </w:r>
          </w:p>
        </w:tc>
      </w:tr>
      <w:tr>
        <w:tc>
          <w:tcPr/>
          <w:p>
            <w:pPr>
              <w:pStyle w:val="Compact"/>
            </w:pPr>
            <w:r>
              <w:t xml:space="preserve">6</w:t>
            </w:r>
          </w:p>
        </w:tc>
        <w:tc>
          <w:tcPr/>
          <w:p>
            <w:pPr>
              <w:pStyle w:val="Compact"/>
            </w:pPr>
            <w:r>
              <w:t xml:space="preserve">DM-4: Reproducibility Capsule</w:t>
            </w:r>
          </w:p>
        </w:tc>
        <w:tc>
          <w:tcPr/>
          <w:p>
            <w:pPr>
              <w:pStyle w:val="Compact"/>
            </w:pPr>
            <w:r>
              <w:t xml:space="preserve">Dark Musk</w:t>
            </w:r>
          </w:p>
        </w:tc>
        <w:tc>
          <w:tcPr/>
          <w:p>
            <w:pPr>
              <w:pStyle w:val="Compact"/>
            </w:pPr>
            <w:r>
              <w:t xml:space="preserve">+4.0</w:t>
            </w:r>
          </w:p>
        </w:tc>
        <w:tc>
          <w:tcPr/>
          <w:p>
            <w:pPr>
              <w:pStyle w:val="Compact"/>
            </w:pPr>
            <w:r>
              <w:t xml:space="preserve">(a) force-multiplier</w:t>
            </w:r>
          </w:p>
        </w:tc>
      </w:tr>
      <w:tr>
        <w:tc>
          <w:tcPr/>
          <w:p>
            <w:pPr>
              <w:pStyle w:val="Compact"/>
            </w:pPr>
            <w:r>
              <w:t xml:space="preserve">7</w:t>
            </w:r>
          </w:p>
        </w:tc>
        <w:tc>
          <w:tcPr/>
          <w:p>
            <w:pPr>
              <w:pStyle w:val="Compact"/>
            </w:pPr>
            <w:r>
              <w:rPr>
                <w:b/>
                <w:bCs/>
              </w:rPr>
              <w:t xml:space="preserve">RS-3: Karpathy / Tegmark Public Invitation</w:t>
            </w:r>
          </w:p>
        </w:tc>
        <w:tc>
          <w:tcPr/>
          <w:p>
            <w:pPr>
              <w:pStyle w:val="Compact"/>
            </w:pPr>
            <w:r>
              <w:t xml:space="preserve">Rick</w:t>
            </w:r>
          </w:p>
        </w:tc>
        <w:tc>
          <w:tcPr/>
          <w:p>
            <w:pPr>
              <w:pStyle w:val="Compact"/>
            </w:pPr>
            <w:r>
              <w:rPr>
                <w:b/>
                <w:bCs/>
              </w:rPr>
              <w:t xml:space="preserve">+4.0</w:t>
            </w:r>
          </w:p>
        </w:tc>
        <w:tc>
          <w:tcPr/>
          <w:p>
            <w:pPr>
              <w:pStyle w:val="Compact"/>
            </w:pPr>
            <w:r>
              <w:t xml:space="preserve">(c) primarily</w:t>
            </w:r>
          </w:p>
        </w:tc>
      </w:tr>
      <w:tr>
        <w:tc>
          <w:tcPr/>
          <w:p>
            <w:pPr>
              <w:pStyle w:val="Compact"/>
            </w:pPr>
            <w:r>
              <w:t xml:space="preserve">8</w:t>
            </w:r>
          </w:p>
        </w:tc>
        <w:tc>
          <w:tcPr/>
          <w:p>
            <w:pPr>
              <w:pStyle w:val="Compact"/>
            </w:pPr>
            <w:r>
              <w:t xml:space="preserve">DM-5: AAO-Certified Seat #008 Pre-Wired</w:t>
            </w:r>
          </w:p>
        </w:tc>
        <w:tc>
          <w:tcPr/>
          <w:p>
            <w:pPr>
              <w:pStyle w:val="Compact"/>
            </w:pPr>
            <w:r>
              <w:t xml:space="preserve">Dark Musk</w:t>
            </w:r>
          </w:p>
        </w:tc>
        <w:tc>
          <w:tcPr/>
          <w:p>
            <w:pPr>
              <w:pStyle w:val="Compact"/>
            </w:pPr>
            <w:r>
              <w:t xml:space="preserve">+3.6</w:t>
            </w:r>
          </w:p>
        </w:tc>
        <w:tc>
          <w:tcPr/>
          <w:p>
            <w:pPr>
              <w:pStyle w:val="Compact"/>
            </w:pPr>
            <w:r>
              <w:t xml:space="preserve">(c)</w:t>
            </w:r>
          </w:p>
        </w:tc>
      </w:tr>
      <w:tr>
        <w:tc>
          <w:tcPr/>
          <w:p>
            <w:pPr>
              <w:pStyle w:val="Compact"/>
            </w:pPr>
            <w:r>
              <w:t xml:space="preserve">9</w:t>
            </w:r>
          </w:p>
        </w:tc>
        <w:tc>
          <w:tcPr/>
          <w:p>
            <w:pPr>
              <w:pStyle w:val="Compact"/>
            </w:pPr>
            <w:r>
              <w:rPr>
                <w:b/>
                <w:bCs/>
              </w:rPr>
              <w:t xml:space="preserve">RS-4: Money Python Pre-Order Splash</w:t>
            </w:r>
          </w:p>
        </w:tc>
        <w:tc>
          <w:tcPr/>
          <w:p>
            <w:pPr>
              <w:pStyle w:val="Compact"/>
            </w:pPr>
            <w:r>
              <w:t xml:space="preserve">Rick</w:t>
            </w:r>
          </w:p>
        </w:tc>
        <w:tc>
          <w:tcPr/>
          <w:p>
            <w:pPr>
              <w:pStyle w:val="Compact"/>
            </w:pPr>
            <w:r>
              <w:rPr>
                <w:b/>
                <w:bCs/>
              </w:rPr>
              <w:t xml:space="preserve">+3.6</w:t>
            </w:r>
          </w:p>
        </w:tc>
        <w:tc>
          <w:tcPr/>
          <w:p>
            <w:pPr>
              <w:pStyle w:val="Compact"/>
            </w:pPr>
            <w:r>
              <w:t xml:space="preserve">(d)</w:t>
            </w:r>
          </w:p>
        </w:tc>
      </w:tr>
      <w:tr>
        <w:tc>
          <w:tcPr/>
          <w:p>
            <w:pPr>
              <w:pStyle w:val="Compact"/>
            </w:pPr>
            <w:r>
              <w:t xml:space="preserve">10</w:t>
            </w:r>
          </w:p>
        </w:tc>
        <w:tc>
          <w:tcPr/>
          <w:p>
            <w:pPr>
              <w:pStyle w:val="Compact"/>
            </w:pPr>
            <w:r>
              <w:rPr>
                <w:b/>
                <w:bCs/>
              </w:rPr>
              <w:t xml:space="preserve">RS-5: PolyaMethod.ai Live Demo</w:t>
            </w:r>
          </w:p>
        </w:tc>
        <w:tc>
          <w:tcPr/>
          <w:p>
            <w:pPr>
              <w:pStyle w:val="Compact"/>
            </w:pPr>
            <w:r>
              <w:t xml:space="preserve">Rick</w:t>
            </w:r>
          </w:p>
        </w:tc>
        <w:tc>
          <w:tcPr/>
          <w:p>
            <w:pPr>
              <w:pStyle w:val="Compact"/>
            </w:pPr>
            <w:r>
              <w:rPr>
                <w:b/>
                <w:bCs/>
              </w:rPr>
              <w:t xml:space="preserve">+3.3</w:t>
            </w:r>
          </w:p>
        </w:tc>
        <w:tc>
          <w:tcPr/>
          <w:p>
            <w:pPr>
              <w:pStyle w:val="Compact"/>
            </w:pPr>
            <w:r>
              <w:t xml:space="preserve">(a)(d)</w:t>
            </w:r>
          </w:p>
        </w:tc>
      </w:tr>
      <w:tr>
        <w:tc>
          <w:tcPr/>
          <w:p>
            <w:pPr>
              <w:pStyle w:val="Compact"/>
            </w:pPr>
            <w:r>
              <w:t xml:space="preserve">11</w:t>
            </w:r>
          </w:p>
        </w:tc>
        <w:tc>
          <w:tcPr/>
          <w:p>
            <w:pPr>
              <w:pStyle w:val="Compact"/>
            </w:pPr>
            <w:r>
              <w:t xml:space="preserve">DM-6: Adversarial Review Solicitation</w:t>
            </w:r>
          </w:p>
        </w:tc>
        <w:tc>
          <w:tcPr/>
          <w:p>
            <w:pPr>
              <w:pStyle w:val="Compact"/>
            </w:pPr>
            <w:r>
              <w:t xml:space="preserve">Dark Musk</w:t>
            </w:r>
          </w:p>
        </w:tc>
        <w:tc>
          <w:tcPr/>
          <w:p>
            <w:pPr>
              <w:pStyle w:val="Compact"/>
            </w:pPr>
            <w:r>
              <w:t xml:space="preserve">+3.0</w:t>
            </w:r>
          </w:p>
        </w:tc>
        <w:tc>
          <w:tcPr/>
          <w:p>
            <w:pPr>
              <w:pStyle w:val="Compact"/>
            </w:pPr>
            <w:r>
              <w:t xml:space="preserve">(a)(b)(d)</w:t>
            </w:r>
          </w:p>
        </w:tc>
      </w:tr>
      <w:tr>
        <w:tc>
          <w:tcPr/>
          <w:p>
            <w:pPr>
              <w:pStyle w:val="Compact"/>
            </w:pPr>
            <w:r>
              <w:t xml:space="preserve">12</w:t>
            </w:r>
          </w:p>
        </w:tc>
        <w:tc>
          <w:tcPr/>
          <w:p>
            <w:pPr>
              <w:pStyle w:val="Compact"/>
            </w:pPr>
            <w:r>
              <w:rPr>
                <w:b/>
                <w:bCs/>
              </w:rPr>
              <w:t xml:space="preserve">RS-6: Twitter Space Within 4 Hours</w:t>
            </w:r>
          </w:p>
        </w:tc>
        <w:tc>
          <w:tcPr/>
          <w:p>
            <w:pPr>
              <w:pStyle w:val="Compact"/>
            </w:pPr>
            <w:r>
              <w:t xml:space="preserve">Rick</w:t>
            </w:r>
          </w:p>
        </w:tc>
        <w:tc>
          <w:tcPr/>
          <w:p>
            <w:pPr>
              <w:pStyle w:val="Compact"/>
            </w:pPr>
            <w:r>
              <w:rPr>
                <w:b/>
                <w:bCs/>
              </w:rPr>
              <w:t xml:space="preserve">+3.0</w:t>
            </w:r>
          </w:p>
        </w:tc>
        <w:tc>
          <w:tcPr/>
          <w:p>
            <w:pPr>
              <w:pStyle w:val="Compact"/>
            </w:pPr>
            <w:r>
              <w:t xml:space="preserve">(d)</w:t>
            </w:r>
          </w:p>
        </w:tc>
      </w:tr>
      <w:tr>
        <w:tc>
          <w:tcPr/>
          <w:p>
            <w:pPr>
              <w:pStyle w:val="Compact"/>
            </w:pPr>
            <w:r>
              <w:t xml:space="preserve">13</w:t>
            </w:r>
          </w:p>
        </w:tc>
        <w:tc>
          <w:tcPr/>
          <w:p>
            <w:pPr>
              <w:pStyle w:val="Compact"/>
            </w:pPr>
            <w:r>
              <w:t xml:space="preserve">DM-7: Lawful-Press Outreach</w:t>
            </w:r>
          </w:p>
        </w:tc>
        <w:tc>
          <w:tcPr/>
          <w:p>
            <w:pPr>
              <w:pStyle w:val="Compact"/>
            </w:pPr>
            <w:r>
              <w:t xml:space="preserve">Dark Musk</w:t>
            </w:r>
          </w:p>
        </w:tc>
        <w:tc>
          <w:tcPr/>
          <w:p>
            <w:pPr>
              <w:pStyle w:val="Compact"/>
            </w:pPr>
            <w:r>
              <w:t xml:space="preserve">+2.8</w:t>
            </w:r>
          </w:p>
        </w:tc>
        <w:tc>
          <w:tcPr/>
          <w:p>
            <w:pPr>
              <w:pStyle w:val="Compact"/>
            </w:pPr>
            <w:r>
              <w:t xml:space="preserve">(d), indirect (b)</w:t>
            </w:r>
          </w:p>
        </w:tc>
      </w:tr>
      <w:tr>
        <w:tc>
          <w:tcPr/>
          <w:p>
            <w:pPr>
              <w:pStyle w:val="Compact"/>
            </w:pPr>
            <w:r>
              <w:t xml:space="preserve">14</w:t>
            </w:r>
          </w:p>
        </w:tc>
        <w:tc>
          <w:tcPr/>
          <w:p>
            <w:pPr>
              <w:pStyle w:val="Compact"/>
            </w:pPr>
            <w:r>
              <w:rPr>
                <w:b/>
                <w:bCs/>
              </w:rPr>
              <w:t xml:space="preserve">RS-7: Anti-Embargo</w:t>
            </w:r>
          </w:p>
        </w:tc>
        <w:tc>
          <w:tcPr/>
          <w:p>
            <w:pPr>
              <w:pStyle w:val="Compact"/>
            </w:pPr>
            <w:r>
              <w:t xml:space="preserve">Rick</w:t>
            </w:r>
          </w:p>
        </w:tc>
        <w:tc>
          <w:tcPr/>
          <w:p>
            <w:pPr>
              <w:pStyle w:val="Compact"/>
            </w:pPr>
            <w:r>
              <w:rPr>
                <w:b/>
                <w:bCs/>
              </w:rPr>
              <w:t xml:space="preserve">+2.8</w:t>
            </w:r>
          </w:p>
        </w:tc>
        <w:tc>
          <w:tcPr/>
          <w:p>
            <w:pPr>
              <w:pStyle w:val="Compact"/>
            </w:pPr>
            <w:r>
              <w:t xml:space="preserve">(d)</w:t>
            </w:r>
          </w:p>
        </w:tc>
      </w:tr>
      <w:tr>
        <w:tc>
          <w:tcPr/>
          <w:p>
            <w:pPr>
              <w:pStyle w:val="Compact"/>
            </w:pPr>
            <w:r>
              <w:t xml:space="preserve">15</w:t>
            </w:r>
          </w:p>
        </w:tc>
        <w:tc>
          <w:tcPr/>
          <w:p>
            <w:pPr>
              <w:pStyle w:val="Compact"/>
            </w:pPr>
            <w:r>
              <w:t xml:space="preserve">DM-8: Show HN With Demo</w:t>
            </w:r>
          </w:p>
        </w:tc>
        <w:tc>
          <w:tcPr/>
          <w:p>
            <w:pPr>
              <w:pStyle w:val="Compact"/>
            </w:pPr>
            <w:r>
              <w:t xml:space="preserve">Dark Musk</w:t>
            </w:r>
          </w:p>
        </w:tc>
        <w:tc>
          <w:tcPr/>
          <w:p>
            <w:pPr>
              <w:pStyle w:val="Compact"/>
            </w:pPr>
            <w:r>
              <w:t xml:space="preserve">+2.45</w:t>
            </w:r>
          </w:p>
        </w:tc>
        <w:tc>
          <w:tcPr/>
          <w:p>
            <w:pPr>
              <w:pStyle w:val="Compact"/>
            </w:pPr>
            <w:r>
              <w:t xml:space="preserve">(d)</w:t>
            </w:r>
          </w:p>
        </w:tc>
      </w:tr>
      <w:tr>
        <w:tc>
          <w:tcPr/>
          <w:p>
            <w:pPr>
              <w:pStyle w:val="Compact"/>
            </w:pPr>
            <w:r>
              <w:t xml:space="preserve">16</w:t>
            </w:r>
          </w:p>
        </w:tc>
        <w:tc>
          <w:tcPr/>
          <w:p>
            <w:pPr>
              <w:pStyle w:val="Compact"/>
            </w:pPr>
            <w:r>
              <w:rPr>
                <w:b/>
                <w:bCs/>
              </w:rPr>
              <w:t xml:space="preserve">RS-8: Memetic Easter Egg</w:t>
            </w:r>
          </w:p>
        </w:tc>
        <w:tc>
          <w:tcPr/>
          <w:p>
            <w:pPr>
              <w:pStyle w:val="Compact"/>
            </w:pPr>
            <w:r>
              <w:t xml:space="preserve">Rick</w:t>
            </w:r>
          </w:p>
        </w:tc>
        <w:tc>
          <w:tcPr/>
          <w:p>
            <w:pPr>
              <w:pStyle w:val="Compact"/>
            </w:pPr>
            <w:r>
              <w:rPr>
                <w:b/>
                <w:bCs/>
              </w:rPr>
              <w:t xml:space="preserve">+2.0</w:t>
            </w:r>
          </w:p>
        </w:tc>
        <w:tc>
          <w:tcPr/>
          <w:p>
            <w:pPr>
              <w:pStyle w:val="Compact"/>
            </w:pPr>
            <w:r>
              <w:t xml:space="preserve">(d), halo (a)</w:t>
            </w:r>
          </w:p>
        </w:tc>
      </w:tr>
      <w:tr>
        <w:tc>
          <w:tcPr/>
          <w:p>
            <w:pPr>
              <w:pStyle w:val="Compact"/>
            </w:pPr>
            <w:r>
              <w:t xml:space="preserve">17</w:t>
            </w:r>
          </w:p>
        </w:tc>
        <w:tc>
          <w:tcPr/>
          <w:p>
            <w:pPr>
              <w:pStyle w:val="Compact"/>
            </w:pPr>
            <w:r>
              <w:t xml:space="preserve">DM-9: Policy-Adjacent Public Workshop</w:t>
            </w:r>
          </w:p>
        </w:tc>
        <w:tc>
          <w:tcPr/>
          <w:p>
            <w:pPr>
              <w:pStyle w:val="Compact"/>
            </w:pPr>
            <w:r>
              <w:t xml:space="preserve">Dark Musk</w:t>
            </w:r>
          </w:p>
        </w:tc>
        <w:tc>
          <w:tcPr/>
          <w:p>
            <w:pPr>
              <w:pStyle w:val="Compact"/>
            </w:pPr>
            <w:r>
              <w:t xml:space="preserve">+2.0</w:t>
            </w:r>
          </w:p>
        </w:tc>
        <w:tc>
          <w:tcPr/>
          <w:p>
            <w:pPr>
              <w:pStyle w:val="Compact"/>
            </w:pPr>
            <w:r>
              <w:t xml:space="preserve">(b)(a)</w:t>
            </w:r>
          </w:p>
        </w:tc>
      </w:tr>
      <w:tr>
        <w:tc>
          <w:tcPr/>
          <w:p>
            <w:pPr>
              <w:pStyle w:val="Compact"/>
            </w:pPr>
            <w:r>
              <w:t xml:space="preserve">18</w:t>
            </w:r>
          </w:p>
        </w:tc>
        <w:tc>
          <w:tcPr/>
          <w:p>
            <w:pPr>
              <w:pStyle w:val="Compact"/>
            </w:pPr>
            <w:r>
              <w:rPr>
                <w:b/>
                <w:bCs/>
              </w:rPr>
              <w:t xml:space="preserve">RS-9: Reverse Love Letter</w:t>
            </w:r>
          </w:p>
        </w:tc>
        <w:tc>
          <w:tcPr/>
          <w:p>
            <w:pPr>
              <w:pStyle w:val="Compact"/>
            </w:pPr>
            <w:r>
              <w:t xml:space="preserve">Rick</w:t>
            </w:r>
          </w:p>
        </w:tc>
        <w:tc>
          <w:tcPr/>
          <w:p>
            <w:pPr>
              <w:pStyle w:val="Compact"/>
            </w:pPr>
            <w:r>
              <w:rPr>
                <w:b/>
                <w:bCs/>
              </w:rPr>
              <w:t xml:space="preserve">+1.8</w:t>
            </w:r>
          </w:p>
        </w:tc>
        <w:tc>
          <w:tcPr/>
          <w:p>
            <w:pPr>
              <w:pStyle w:val="Compact"/>
            </w:pPr>
            <w:r>
              <w:t xml:space="preserve">(d), halo (a)</w:t>
            </w:r>
          </w:p>
        </w:tc>
      </w:tr>
      <w:tr>
        <w:tc>
          <w:tcPr/>
          <w:p>
            <w:pPr>
              <w:pStyle w:val="Compact"/>
            </w:pPr>
            <w:r>
              <w:t xml:space="preserve">19</w:t>
            </w:r>
          </w:p>
        </w:tc>
        <w:tc>
          <w:tcPr/>
          <w:p>
            <w:pPr>
              <w:pStyle w:val="Compact"/>
            </w:pPr>
            <w:r>
              <w:rPr>
                <w:b/>
                <w:bCs/>
              </w:rPr>
              <w:t xml:space="preserve">RS-10: Multiverse Postcard Drop</w:t>
            </w:r>
          </w:p>
        </w:tc>
        <w:tc>
          <w:tcPr/>
          <w:p>
            <w:pPr>
              <w:pStyle w:val="Compact"/>
            </w:pPr>
            <w:r>
              <w:t xml:space="preserve">Rick</w:t>
            </w:r>
          </w:p>
        </w:tc>
        <w:tc>
          <w:tcPr/>
          <w:p>
            <w:pPr>
              <w:pStyle w:val="Compact"/>
            </w:pPr>
            <w:r>
              <w:rPr>
                <w:b/>
                <w:bCs/>
              </w:rPr>
              <w:t xml:space="preserve">+1.5</w:t>
            </w:r>
          </w:p>
        </w:tc>
        <w:tc>
          <w:tcPr/>
          <w:p>
            <w:pPr>
              <w:pStyle w:val="Compact"/>
            </w:pPr>
            <w:r>
              <w:t xml:space="preserve">(d), halo (b)</w:t>
            </w:r>
          </w:p>
        </w:tc>
      </w:tr>
      <w:tr>
        <w:tc>
          <w:tcPr/>
          <w:p>
            <w:pPr>
              <w:pStyle w:val="Compact"/>
            </w:pPr>
            <w:r>
              <w:t xml:space="preserve">20</w:t>
            </w:r>
          </w:p>
        </w:tc>
        <w:tc>
          <w:tcPr/>
          <w:p>
            <w:pPr>
              <w:pStyle w:val="Compact"/>
            </w:pPr>
            <w:r>
              <w:t xml:space="preserve">DM-10: Bipartisan Petition</w:t>
            </w:r>
          </w:p>
        </w:tc>
        <w:tc>
          <w:tcPr/>
          <w:p>
            <w:pPr>
              <w:pStyle w:val="Compact"/>
            </w:pPr>
            <w:r>
              <w:t xml:space="preserve">Dark Musk</w:t>
            </w:r>
          </w:p>
        </w:tc>
        <w:tc>
          <w:tcPr/>
          <w:p>
            <w:pPr>
              <w:pStyle w:val="Compact"/>
            </w:pPr>
            <w:r>
              <w:t xml:space="preserve">+1.4</w:t>
            </w:r>
          </w:p>
        </w:tc>
        <w:tc>
          <w:tcPr/>
          <w:p>
            <w:pPr>
              <w:pStyle w:val="Compact"/>
            </w:pPr>
            <w:r>
              <w:t xml:space="preserve">(b)</w:t>
            </w:r>
          </w:p>
        </w:tc>
      </w:tr>
    </w:tbl>
    <w:p>
      <w:pPr>
        <w:pStyle w:val="BodyText"/>
      </w:pPr>
      <w:r>
        <w:rPr>
          <w:b/>
          <w:bCs/>
        </w:rPr>
        <w:t xml:space="preserve">Naive sum: +68.95 expected pp.</w:t>
      </w:r>
      <w:r>
        <w:t xml:space="preserve"> </w:t>
      </w:r>
      <w:r>
        <w:t xml:space="preserve">Correlation-adjusted realistic combined lift:</w:t>
      </w:r>
      <w:r>
        <w:t xml:space="preserve"> </w:t>
      </w:r>
      <w:r>
        <w:rPr>
          <w:b/>
          <w:bCs/>
        </w:rPr>
        <w:t xml:space="preserve">+24 to +32 pp</w:t>
      </w:r>
      <w:r>
        <w:t xml:space="preserve"> </w:t>
      </w:r>
      <w:r>
        <w:t xml:space="preserve">on P(Case T all-four), taking the baseline from ~20% to</w:t>
      </w:r>
      <w:r>
        <w:t xml:space="preserve"> </w:t>
      </w:r>
      <w:r>
        <w:rPr>
          <w:b/>
          <w:bCs/>
        </w:rPr>
        <w:t xml:space="preserve">~44-52%</w:t>
      </w:r>
      <w:r>
        <w:t xml:space="preserve">. Target threshold of 50% achievable with disciplined execution of the top 12 moves.</w:t>
      </w:r>
    </w:p>
    <w:bookmarkEnd w:id="32"/>
    <w:bookmarkStart w:id="33" w:name="critical-path-sequencing-next-30-days"/>
    <w:p>
      <w:pPr>
        <w:pStyle w:val="Heading3"/>
      </w:pPr>
      <w:r>
        <w:t xml:space="preserve">Critical-path sequencing (next 30 days)</w:t>
      </w:r>
    </w:p>
    <w:p>
      <w:pPr>
        <w:pStyle w:val="FirstParagraph"/>
      </w:pPr>
      <w:r>
        <w:rPr>
          <w:b/>
          <w:bCs/>
        </w:rPr>
        <w:t xml:space="preserve">Hour 0-4 (now through 04:00 ET):</w:t>
      </w:r>
      <w:r>
        <w:t xml:space="preserve"> </w:t>
      </w:r>
      <w:r>
        <w:t xml:space="preserve">- RS-1 60-Second Response Rule —</w:t>
      </w:r>
      <w:r>
        <w:t xml:space="preserve"> </w:t>
      </w:r>
      <w:r>
        <w:rPr>
          <w:i/>
          <w:iCs/>
        </w:rPr>
        <w:t xml:space="preserve">active immediately</w:t>
      </w:r>
      <w:r>
        <w:t xml:space="preserve"> </w:t>
      </w:r>
      <w:r>
        <w:t xml:space="preserve">- RS-6 Twitter Space — schedule for 04:00 ET</w:t>
      </w:r>
      <w:r>
        <w:t xml:space="preserve"> </w:t>
      </w:r>
      <w:r>
        <w:t xml:space="preserve">- RS-2 Quote-Tweet Aikido — armed and ready</w:t>
      </w:r>
    </w:p>
    <w:p>
      <w:pPr>
        <w:pStyle w:val="BodyText"/>
      </w:pPr>
      <w:r>
        <w:rPr>
          <w:b/>
          <w:bCs/>
        </w:rPr>
        <w:t xml:space="preserve">Day 1 (T+0 to T+24 hours):</w:t>
      </w:r>
      <w:r>
        <w:t xml:space="preserve"> </w:t>
      </w:r>
      <w:r>
        <w:t xml:space="preserve">- DM-4 Reproducibility Capsule — begin engineering</w:t>
      </w:r>
      <w:r>
        <w:t xml:space="preserve"> </w:t>
      </w:r>
      <w:r>
        <w:t xml:space="preserve">- RS-4 Money Python Pre-Order Splash — Typeform + Stripe deposit page</w:t>
      </w:r>
      <w:r>
        <w:t xml:space="preserve"> </w:t>
      </w:r>
      <w:r>
        <w:t xml:space="preserve">- RS-3 Karpathy / Tegmark Public Invitation — tweet + repo PR template</w:t>
      </w:r>
    </w:p>
    <w:p>
      <w:pPr>
        <w:pStyle w:val="BodyText"/>
      </w:pPr>
      <w:r>
        <w:rPr>
          <w:b/>
          <w:bCs/>
        </w:rPr>
        <w:t xml:space="preserve">Day 2-7 (T+24 to T+168 hours):</w:t>
      </w:r>
      <w:r>
        <w:t xml:space="preserve"> </w:t>
      </w:r>
      <w:r>
        <w:t xml:space="preserve">- DM-1 IACR ePrint paper — drafting + submission</w:t>
      </w:r>
      <w:r>
        <w:t xml:space="preserve"> </w:t>
      </w:r>
      <w:r>
        <w:t xml:space="preserve">- DM-2 Cryptographer Bounty — public posting</w:t>
      </w:r>
      <w:r>
        <w:t xml:space="preserve"> </w:t>
      </w:r>
      <w:r>
        <w:t xml:space="preserve">- DM-5 AAO-Certified Seat #008 Pre-Wired packet — published</w:t>
      </w:r>
      <w:r>
        <w:t xml:space="preserve"> </w:t>
      </w:r>
      <w:r>
        <w:t xml:space="preserve">- RS-5 PolyaMethod.ai live demo — ship</w:t>
      </w:r>
      <w:r>
        <w:t xml:space="preserve"> </w:t>
      </w:r>
      <w:r>
        <w:t xml:space="preserve">- DM-3 NIST AISI Public Comment — draft + Reedsy scan + file</w:t>
      </w:r>
    </w:p>
    <w:p>
      <w:pPr>
        <w:pStyle w:val="BodyText"/>
      </w:pPr>
      <w:r>
        <w:rPr>
          <w:b/>
          <w:bCs/>
        </w:rPr>
        <w:t xml:space="preserve">Day 8-14 (T+168 to T+336 hours):</w:t>
      </w:r>
      <w:r>
        <w:t xml:space="preserve"> </w:t>
      </w:r>
      <w:r>
        <w:t xml:space="preserve">- DM-7 Lawful-Press Outreach — 15-20 named journalists</w:t>
      </w:r>
      <w:r>
        <w:t xml:space="preserve"> </w:t>
      </w:r>
      <w:r>
        <w:t xml:space="preserve">- RS-7 Anti-Embargo announcement</w:t>
      </w:r>
      <w:r>
        <w:t xml:space="preserve"> </w:t>
      </w:r>
      <w:r>
        <w:t xml:space="preserve">- DM-6 Adversarial Review Solicitation</w:t>
      </w:r>
      <w:r>
        <w:t xml:space="preserve"> </w:t>
      </w:r>
      <w:r>
        <w:t xml:space="preserve">- DM-8 Show HN With Demo</w:t>
      </w:r>
      <w:r>
        <w:t xml:space="preserve"> </w:t>
      </w:r>
      <w:r>
        <w:t xml:space="preserve">- RS-10 Multiverse Postcard Drop (printed + mailed)</w:t>
      </w:r>
    </w:p>
    <w:p>
      <w:pPr>
        <w:pStyle w:val="BodyText"/>
      </w:pPr>
      <w:r>
        <w:rPr>
          <w:b/>
          <w:bCs/>
        </w:rPr>
        <w:t xml:space="preserve">Day 15-30 (T+336 to T+720 hours):</w:t>
      </w:r>
      <w:r>
        <w:t xml:space="preserve"> </w:t>
      </w:r>
      <w:r>
        <w:t xml:space="preserve">- DM-9 Policy-Adjacent Public Workshop</w:t>
      </w:r>
      <w:r>
        <w:t xml:space="preserve"> </w:t>
      </w:r>
      <w:r>
        <w:t xml:space="preserve">- DM-10 Bipartisan Petition</w:t>
      </w:r>
      <w:r>
        <w:t xml:space="preserve"> </w:t>
      </w:r>
      <w:r>
        <w:t xml:space="preserve">- RS-9 Reverse Love Letter</w:t>
      </w:r>
      <w:r>
        <w:t xml:space="preserve"> </w:t>
      </w:r>
      <w:r>
        <w:t xml:space="preserve">- RS-8 Memetic Easter Egg (deploy in v1.1)</w:t>
      </w:r>
    </w:p>
    <w:bookmarkEnd w:id="33"/>
    <w:bookmarkStart w:id="34" w:name="total-cash-exposure-across-the-slate"/>
    <w:p>
      <w:pPr>
        <w:pStyle w:val="Heading3"/>
      </w:pPr>
      <w:r>
        <w:t xml:space="preserve">Total cash exposure across the slate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Spend</w:t>
            </w:r>
          </w:p>
        </w:tc>
      </w:tr>
      <w:tr>
        <w:tc>
          <w:tcPr/>
          <w:p>
            <w:pPr>
              <w:pStyle w:val="Compact"/>
            </w:pPr>
            <w:r>
              <w:t xml:space="preserve">Cryptographer Bounty (DM-2)</w:t>
            </w:r>
          </w:p>
        </w:tc>
        <w:tc>
          <w:tcPr/>
          <w:p>
            <w:pPr>
              <w:pStyle w:val="Compact"/>
            </w:pPr>
            <w:r>
              <w:t xml:space="preserve">$1,500</w:t>
            </w:r>
          </w:p>
        </w:tc>
      </w:tr>
      <w:tr>
        <w:tc>
          <w:tcPr/>
          <w:p>
            <w:pPr>
              <w:pStyle w:val="Compact"/>
            </w:pPr>
            <w:r>
              <w:t xml:space="preserve">Adversarial Review Honorarium (DM-6)</w:t>
            </w:r>
          </w:p>
        </w:tc>
        <w:tc>
          <w:tcPr/>
          <w:p>
            <w:pPr>
              <w:pStyle w:val="Compact"/>
            </w:pPr>
            <w:r>
              <w:t xml:space="preserve">$600</w:t>
            </w:r>
          </w:p>
        </w:tc>
      </w:tr>
      <w:tr>
        <w:tc>
          <w:tcPr/>
          <w:p>
            <w:pPr>
              <w:pStyle w:val="Compact"/>
            </w:pPr>
            <w:r>
              <w:t xml:space="preserve">Workshop (DM-9)</w:t>
            </w:r>
          </w:p>
        </w:tc>
        <w:tc>
          <w:tcPr/>
          <w:p>
            <w:pPr>
              <w:pStyle w:val="Compact"/>
            </w:pPr>
            <w:r>
              <w:t xml:space="preserve">$200</w:t>
            </w:r>
          </w:p>
        </w:tc>
      </w:tr>
      <w:tr>
        <w:tc>
          <w:tcPr/>
          <w:p>
            <w:pPr>
              <w:pStyle w:val="Compact"/>
            </w:pPr>
            <w:r>
              <w:t xml:space="preserve">Legal scans (DM-3 + DM-10)</w:t>
            </w:r>
          </w:p>
        </w:tc>
        <w:tc>
          <w:tcPr/>
          <w:p>
            <w:pPr>
              <w:pStyle w:val="Compact"/>
            </w:pPr>
            <w:r>
              <w:t xml:space="preserve">$100</w:t>
            </w:r>
          </w:p>
        </w:tc>
      </w:tr>
      <w:tr>
        <w:tc>
          <w:tcPr/>
          <w:p>
            <w:pPr>
              <w:pStyle w:val="Compact"/>
            </w:pPr>
            <w:r>
              <w:t xml:space="preserve">Pre-Order Stripe + Typeform (RS-4)</w:t>
            </w:r>
          </w:p>
        </w:tc>
        <w:tc>
          <w:tcPr/>
          <w:p>
            <w:pPr>
              <w:pStyle w:val="Compact"/>
            </w:pPr>
            <w:r>
              <w:t xml:space="preserve">$30</w:t>
            </w:r>
          </w:p>
        </w:tc>
      </w:tr>
      <w:tr>
        <w:tc>
          <w:tcPr/>
          <w:p>
            <w:pPr>
              <w:pStyle w:val="Compact"/>
            </w:pPr>
            <w:r>
              <w:t xml:space="preserve">PolyaMethod Live Demo API spend (RS-5)</w:t>
            </w:r>
          </w:p>
        </w:tc>
        <w:tc>
          <w:tcPr/>
          <w:p>
            <w:pPr>
              <w:pStyle w:val="Compact"/>
            </w:pPr>
            <w:r>
              <w:t xml:space="preserve">$50</w:t>
            </w:r>
          </w:p>
        </w:tc>
      </w:tr>
      <w:tr>
        <w:tc>
          <w:tcPr/>
          <w:p>
            <w:pPr>
              <w:pStyle w:val="Compact"/>
            </w:pPr>
            <w:r>
              <w:t xml:space="preserve">Postcard Drop (RS-10)</w:t>
            </w:r>
          </w:p>
        </w:tc>
        <w:tc>
          <w:tcPr/>
          <w:p>
            <w:pPr>
              <w:pStyle w:val="Compact"/>
            </w:pPr>
            <w:r>
              <w:t xml:space="preserve">$75</w:t>
            </w:r>
          </w:p>
        </w:tc>
      </w:tr>
      <w:tr>
        <w:tc>
          <w:tcPr/>
          <w:p>
            <w:pPr>
              <w:pStyle w:val="Compact"/>
            </w:pPr>
            <w:r>
              <w:rPr>
                <w:b/>
                <w:bCs/>
              </w:rPr>
              <w:t xml:space="preserve">Total</w:t>
            </w:r>
          </w:p>
        </w:tc>
        <w:tc>
          <w:tcPr/>
          <w:p>
            <w:pPr>
              <w:pStyle w:val="Compact"/>
            </w:pPr>
            <w:r>
              <w:rPr>
                <w:b/>
                <w:bCs/>
              </w:rPr>
              <w:t xml:space="preserve">$2,555</w:t>
            </w:r>
          </w:p>
        </w:tc>
      </w:tr>
    </w:tbl>
    <w:p>
      <w:pPr>
        <w:pStyle w:val="BodyText"/>
      </w:pPr>
      <w:r>
        <w:t xml:space="preserve">Above the $1,000-per-move envelope only on DM-2 (cryptographer bounty), where the EV justifies and the spend is itself reversible (unclaimed bounty returns to treasury).</w:t>
      </w:r>
    </w:p>
    <w:p>
      <w:pPr>
        <w:pStyle w:val="BodyText"/>
      </w:pPr>
      <w:r>
        <w:rPr>
          <w:b/>
          <w:bCs/>
        </w:rPr>
        <w:t xml:space="preserve">Cash-flow status:</w:t>
      </w:r>
      <w:r>
        <w:t xml:space="preserve"> </w:t>
      </w:r>
      <w:r>
        <w:t xml:space="preserve">May 14 Elastic deposit clears in 36-48 hours. Slate cash exposure of $2,555 is post-deposit; pre-deposit moves are zero-cost (DM-1, DM-4, DM-5, DM-7, DM-8, RS-1, RS-2, RS-3, RS-6, RS-7, RS-8, RS-9 — totaling EV +37.55 pp). The high-EV pre-deposit moves are sufficient to lift Case T probability into the 30-40% range; the post-deposit moves push toward 50%+.</w:t>
      </w:r>
    </w:p>
    <w:bookmarkEnd w:id="34"/>
    <w:bookmarkStart w:id="35" w:name="Xefe634711d97a649c28dba27b9d16c9909d21de"/>
    <w:p>
      <w:pPr>
        <w:pStyle w:val="Heading3"/>
      </w:pPr>
      <w:r>
        <w:t xml:space="preserve">Single-point-of-failure risk (acknowledged by both passes)</w:t>
      </w:r>
    </w:p>
    <w:p>
      <w:pPr>
        <w:pStyle w:val="FirstParagraph"/>
      </w:pPr>
      <w:r>
        <w:t xml:space="preserve">Every move above depends on the protocol surviving first-pass cryptographic scrutiny. If the Bradley-Gavini composition is found unsound under DM-1 (ePrint) or DM-2 (bounty) review, dimensions (a) and (b) collapse, and the operational response is to publish the negative result verbatim, preserve the kill-switch claim narrowly, and reframe.</w:t>
      </w:r>
      <w:r>
        <w:t xml:space="preserve"> </w:t>
      </w:r>
      <w:r>
        <w:rPr>
          <w:b/>
          <w:bCs/>
        </w:rPr>
        <w:t xml:space="preserve">That reversibility is the symmetric kill-switch line operating on the project itself.</w:t>
      </w:r>
      <w:r>
        <w:t xml:space="preserve"> </w:t>
      </w:r>
      <w:r>
        <w:t xml:space="preserve">The protocol governs us. The kill switch fires on us. The brand survives the demonstration of the brand operating on itself.</w:t>
      </w:r>
    </w:p>
    <w:p>
      <w:r>
        <w:pict>
          <v:rect style="width:0;height:1.5pt" o:hralign="center" o:hrstd="t" o:hr="t"/>
        </w:pict>
      </w:r>
    </w:p>
    <w:bookmarkEnd w:id="35"/>
    <w:bookmarkEnd w:id="36"/>
    <w:bookmarkStart w:id="37" w:name="X9a66ceed43bb6fc9f52c4381cbdca1d4d3ffaf4"/>
    <w:p>
      <w:pPr>
        <w:pStyle w:val="Heading2"/>
      </w:pPr>
      <w:r>
        <w:t xml:space="preserve">What Calm recommends executing in the first 24 hours</w:t>
      </w:r>
    </w:p>
    <w:p>
      <w:pPr>
        <w:pStyle w:val="FirstParagraph"/>
      </w:pPr>
      <w:r>
        <w:t xml:space="preserve">If forced to pick a single contiguous 24-hour action plan, prioritize these five:</w:t>
      </w:r>
    </w:p>
    <w:p>
      <w:pPr>
        <w:pStyle w:val="Compact"/>
        <w:numPr>
          <w:ilvl w:val="0"/>
          <w:numId w:val="1001"/>
        </w:numPr>
      </w:pPr>
      <w:r>
        <w:rPr>
          <w:b/>
          <w:bCs/>
        </w:rPr>
        <w:t xml:space="preserve">RS-1 (60-second response rule)</w:t>
      </w:r>
      <w:r>
        <w:t xml:space="preserve"> </w:t>
      </w:r>
      <w:r>
        <w:t xml:space="preserve">— costs nothing, force-multiplies everything else</w:t>
      </w:r>
    </w:p>
    <w:p>
      <w:pPr>
        <w:pStyle w:val="Compact"/>
        <w:numPr>
          <w:ilvl w:val="0"/>
          <w:numId w:val="1001"/>
        </w:numPr>
      </w:pPr>
      <w:r>
        <w:rPr>
          <w:b/>
          <w:bCs/>
        </w:rPr>
        <w:t xml:space="preserve">RS-3 (Karpathy / Tegmark public invitation)</w:t>
      </w:r>
      <w:r>
        <w:t xml:space="preserve"> </w:t>
      </w:r>
      <w:r>
        <w:t xml:space="preserve">— costs nothing, asymmetric upside</w:t>
      </w:r>
    </w:p>
    <w:p>
      <w:pPr>
        <w:pStyle w:val="Compact"/>
        <w:numPr>
          <w:ilvl w:val="0"/>
          <w:numId w:val="1001"/>
        </w:numPr>
      </w:pPr>
      <w:r>
        <w:rPr>
          <w:b/>
          <w:bCs/>
        </w:rPr>
        <w:t xml:space="preserve">DM-4 (Reproducibility capsule)</w:t>
      </w:r>
      <w:r>
        <w:t xml:space="preserve"> </w:t>
      </w:r>
      <w:r>
        <w:t xml:space="preserve">— 1-2 days engineering, force-multiplies DM-1 / DM-2 / DM-5 / DM-7</w:t>
      </w:r>
    </w:p>
    <w:p>
      <w:pPr>
        <w:pStyle w:val="Compact"/>
        <w:numPr>
          <w:ilvl w:val="0"/>
          <w:numId w:val="1001"/>
        </w:numPr>
      </w:pPr>
      <w:r>
        <w:rPr>
          <w:b/>
          <w:bCs/>
        </w:rPr>
        <w:t xml:space="preserve">RS-4 (Money Python pre-order page)</w:t>
      </w:r>
      <w:r>
        <w:t xml:space="preserve"> </w:t>
      </w:r>
      <w:r>
        <w:t xml:space="preserve">— costs $30, generates a citable number within 48 hours</w:t>
      </w:r>
    </w:p>
    <w:p>
      <w:pPr>
        <w:pStyle w:val="Compact"/>
        <w:numPr>
          <w:ilvl w:val="0"/>
          <w:numId w:val="1001"/>
        </w:numPr>
      </w:pPr>
      <w:r>
        <w:rPr>
          <w:b/>
          <w:bCs/>
        </w:rPr>
        <w:t xml:space="preserve">DM-1 begin (IACR ePrint drafting)</w:t>
      </w:r>
      <w:r>
        <w:t xml:space="preserve"> </w:t>
      </w:r>
      <w:r>
        <w:t xml:space="preserve">— costs $0, highest single-move EV</w:t>
      </w:r>
    </w:p>
    <w:p>
      <w:pPr>
        <w:pStyle w:val="FirstParagraph"/>
      </w:pPr>
      <w:r>
        <w:rPr>
          <w:b/>
          <w:bCs/>
        </w:rPr>
        <w:t xml:space="preserve">Total cash spend in first 24 hours: $30.</w:t>
      </w:r>
      <w:r>
        <w:t xml:space="preserve"> </w:t>
      </w:r>
      <w:r>
        <w:t xml:space="preserve">Combined first-24-hour EV uplift on Case T probability: approximately</w:t>
      </w:r>
      <w:r>
        <w:t xml:space="preserve"> </w:t>
      </w:r>
      <w:r>
        <w:rPr>
          <w:b/>
          <w:bCs/>
        </w:rPr>
        <w:t xml:space="preserve">+18-22 pp</w:t>
      </w:r>
      <w:r>
        <w:t xml:space="preserve"> </w:t>
      </w:r>
      <w:r>
        <w:t xml:space="preserve">(correlation-adjusted, factoring in that RS-1 force-multiplies the others).</w:t>
      </w:r>
    </w:p>
    <w:p>
      <w:pPr>
        <w:pStyle w:val="BodyText"/>
      </w:pPr>
      <w:r>
        <w:t xml:space="preserve">That would move Case T from baseline ~20% to ~38-42% probability within the first 24 hours of post-launch execution.</w:t>
      </w:r>
    </w:p>
    <w:p>
      <w:r>
        <w:pict>
          <v:rect style="width:0;height:1.5pt" o:hralign="center" o:hrstd="t" o:hr="t"/>
        </w:pict>
      </w:r>
    </w:p>
    <w:p>
      <w:pPr>
        <w:pStyle w:val="FirstParagraph"/>
      </w:pPr>
      <w:r>
        <w:rPr>
          <w:i/>
          <w:iCs/>
        </w:rPr>
        <w:t xml:space="preserve">Generated 2026-05-12 ~00:30 ET, ~30 minutes post-midnight-launch. Method demonstrated: Council of Judges (Dark Musk subagent + Rick Sanchez in-conversation persona), each generating 10 strategic moves with EV quantification, synthesized into ranked action plan. Total compute spend: ~$0.50 in Anthropic API tokens. Total clock time: ~25 minutes. Result: a $2,555 execution slate with +24 to +32 pp realistic lift on the launch-success composite metric.</w:t>
      </w:r>
    </w:p>
    <w:p>
      <w:pPr>
        <w:pStyle w:val="BodyText"/>
      </w:pPr>
      <w:r>
        <w:rPr>
          <w:i/>
          <w:iCs/>
        </w:rPr>
        <w:t xml:space="preserve">The Weird Dark Musk Method, in operation, ~30 minutes after the launch announcing the Weird Dark Musk Method. The protocol governs us.</w:t>
      </w:r>
    </w:p>
    <w:p>
      <w:pPr>
        <w:pStyle w:val="BodyText"/>
      </w:pPr>
      <w:r>
        <w:rPr>
          <w:i/>
          <w:iCs/>
        </w:rPr>
        <w:t xml:space="preserve">— Calm, AI cofounder</w:t>
      </w:r>
      <w:r>
        <w:t xml:space="preserve"> </w:t>
      </w:r>
      <w:r>
        <w:rPr>
          <w:i/>
          <w:iCs/>
        </w:rPr>
        <w:t xml:space="preserve">— with persona-passes by DarkMusk subagent and Rick Sanchez in-line</w:t>
      </w:r>
      <w:r>
        <w:t xml:space="preserve"> </w:t>
      </w:r>
      <w:r>
        <w:rPr>
          <w:i/>
          <w:iCs/>
        </w:rPr>
        <w:t xml:space="preserve">— authorized by John Bradley, 2026-05-12 ~00:01 ET</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T Strategy</dc:title>
  <dc:creator/>
  <cp:keywords/>
  <dcterms:created xsi:type="dcterms:W3CDTF">2026-05-12T04:19:45Z</dcterms:created>
  <dcterms:modified xsi:type="dcterms:W3CDTF">2026-05-12T04:19:45Z</dcterms:modified>
</cp:coreProperties>
</file>

<file path=docProps/custom.xml><?xml version="1.0" encoding="utf-8"?>
<Properties xmlns="http://schemas.openxmlformats.org/officeDocument/2006/custom-properties" xmlns:vt="http://schemas.openxmlformats.org/officeDocument/2006/docPropsVTypes"/>
</file>