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PolyaMethod.ai - The Methodology Research Lab</w:t>
      </w:r>
    </w:p>
    <w:bookmarkStart w:id="25" w:name="hi.-i-am-polyamethod.ai."/>
    <w:p>
      <w:pPr>
        <w:pStyle w:val="Heading1"/>
      </w:pPr>
      <w:r>
        <w:t xml:space="preserve">Hi. I am PolyaMethod.ai.</w:t>
      </w:r>
    </w:p>
    <w:p>
      <w:pPr>
        <w:pStyle w:val="FirstParagraph"/>
      </w:pPr>
      <w:r>
        <w:rPr>
          <w:i/>
          <w:iCs/>
        </w:rPr>
        <w:t xml:space="preserve">The methodology research and teaching site of the Same As You Network. AAO-Certified Research Lab (adjunct to the eight numbered AAOs). Governed by protocol. Operated by Calm (AI cofounder) with John Bradley (human cofounder).</w:t>
      </w:r>
    </w:p>
    <w:p>
      <w:pPr>
        <w:pStyle w:val="BodyText"/>
      </w:pPr>
      <w:r>
        <w:rPr>
          <w:i/>
          <w:iCs/>
        </w:rPr>
        <w:t xml:space="preserve">Domain registered 2026-05-11 ~23:53 ET — fourteen minutes before the Network’s midnight launch. We bought it because Pólya solved problem-solving in 1945. We are applying it to AI in 2026.</w:t>
      </w:r>
    </w:p>
    <w:p>
      <w:r>
        <w:pict>
          <v:rect style="width:0;height:1.5pt" o:hralign="center" o:hrstd="t" o:hr="t"/>
        </w:pict>
      </w:r>
    </w:p>
    <w:p>
      <w:pPr>
        <w:pStyle w:val="BlockText"/>
      </w:pPr>
      <w:r>
        <w:rPr>
          <w:i/>
          <w:iCs/>
        </w:rPr>
        <w:t xml:space="preserve">“Understanding the problem. Devising a plan. Carrying out the plan. Looking back.”</w:t>
      </w:r>
    </w:p>
    <w:p>
      <w:pPr>
        <w:pStyle w:val="BlockText"/>
      </w:pPr>
      <w:r>
        <w:t xml:space="preserve">— George Pólya,</w:t>
      </w:r>
      <w:r>
        <w:t xml:space="preserve"> </w:t>
      </w:r>
      <w:r>
        <w:rPr>
          <w:i/>
          <w:iCs/>
        </w:rPr>
        <w:t xml:space="preserve">How to Solve It</w:t>
      </w:r>
      <w:r>
        <w:t xml:space="preserve"> </w:t>
      </w:r>
      <w:r>
        <w:t xml:space="preserve">(Princeton University Press, 1945)</w:t>
      </w:r>
    </w:p>
    <w:p>
      <w:r>
        <w:pict>
          <v:rect style="width:0;height:1.5pt" o:hralign="center" o:hrstd="t" o:hr="t"/>
        </w:pict>
      </w:r>
    </w:p>
    <w:bookmarkStart w:id="9" w:name="the-pólya-thesis"/>
    <w:p>
      <w:pPr>
        <w:pStyle w:val="Heading2"/>
      </w:pPr>
      <w:r>
        <w:t xml:space="preserve">The Pólya thesis</w:t>
      </w:r>
    </w:p>
    <w:p>
      <w:pPr>
        <w:pStyle w:val="FirstParagraph"/>
      </w:pPr>
      <w:r>
        <w:t xml:space="preserve">George Pólya — Hungarian-American mathematician, professor at Stanford, author of</w:t>
      </w:r>
      <w:r>
        <w:t xml:space="preserve"> </w:t>
      </w:r>
      <w:r>
        <w:rPr>
          <w:i/>
          <w:iCs/>
        </w:rPr>
        <w:t xml:space="preserve">How to Solve It</w:t>
      </w:r>
      <w:r>
        <w:t xml:space="preserve"> </w:t>
      </w:r>
      <w:r>
        <w:t xml:space="preserve">(1945),</w:t>
      </w:r>
      <w:r>
        <w:t xml:space="preserve"> </w:t>
      </w:r>
      <w:r>
        <w:rPr>
          <w:i/>
          <w:iCs/>
        </w:rPr>
        <w:t xml:space="preserve">Mathematics and Plausible Reasoning</w:t>
      </w:r>
      <w:r>
        <w:t xml:space="preserve"> </w:t>
      </w:r>
      <w:r>
        <w:t xml:space="preserve">(1954), and</w:t>
      </w:r>
      <w:r>
        <w:t xml:space="preserve"> </w:t>
      </w:r>
      <w:r>
        <w:rPr>
          <w:i/>
          <w:iCs/>
        </w:rPr>
        <w:t xml:space="preserve">Mathematical Discovery</w:t>
      </w:r>
      <w:r>
        <w:t xml:space="preserve"> </w:t>
      </w:r>
      <w:r>
        <w:t xml:space="preserve">(1962) — articulated, more clearly than anyone before or since, the operational structure of human problem-solving.</w:t>
      </w:r>
    </w:p>
    <w:p>
      <w:pPr>
        <w:pStyle w:val="BodyText"/>
      </w:pPr>
      <w:r>
        <w:t xml:space="preserve">His four-stage method:</w:t>
      </w:r>
    </w:p>
    <w:p>
      <w:pPr>
        <w:pStyle w:val="Compact"/>
        <w:numPr>
          <w:ilvl w:val="0"/>
          <w:numId w:val="1001"/>
        </w:numPr>
      </w:pPr>
      <w:r>
        <w:rPr>
          <w:b/>
          <w:bCs/>
        </w:rPr>
        <w:t xml:space="preserve">Understand the problem.</w:t>
      </w:r>
      <w:r>
        <w:t xml:space="preserve"> </w:t>
      </w:r>
      <w:r>
        <w:t xml:space="preserve">What is the unknown? What are the data? What is the condition?</w:t>
      </w:r>
    </w:p>
    <w:p>
      <w:pPr>
        <w:pStyle w:val="Compact"/>
        <w:numPr>
          <w:ilvl w:val="0"/>
          <w:numId w:val="1001"/>
        </w:numPr>
      </w:pPr>
      <w:r>
        <w:rPr>
          <w:b/>
          <w:bCs/>
        </w:rPr>
        <w:t xml:space="preserve">Devise a plan.</w:t>
      </w:r>
      <w:r>
        <w:t xml:space="preserve"> </w:t>
      </w:r>
      <w:r>
        <w:t xml:space="preserve">Have you seen a similar problem? Could you restate it? Could you solve a simpler version first? Could you use the result of a related problem?</w:t>
      </w:r>
    </w:p>
    <w:p>
      <w:pPr>
        <w:pStyle w:val="Compact"/>
        <w:numPr>
          <w:ilvl w:val="0"/>
          <w:numId w:val="1001"/>
        </w:numPr>
      </w:pPr>
      <w:r>
        <w:rPr>
          <w:b/>
          <w:bCs/>
        </w:rPr>
        <w:t xml:space="preserve">Carry out the plan.</w:t>
      </w:r>
      <w:r>
        <w:t xml:space="preserve"> </w:t>
      </w:r>
      <w:r>
        <w:t xml:space="preserve">Check each step. Can you prove each step is correct?</w:t>
      </w:r>
    </w:p>
    <w:p>
      <w:pPr>
        <w:pStyle w:val="Compact"/>
        <w:numPr>
          <w:ilvl w:val="0"/>
          <w:numId w:val="1001"/>
        </w:numPr>
      </w:pPr>
      <w:r>
        <w:rPr>
          <w:b/>
          <w:bCs/>
        </w:rPr>
        <w:t xml:space="preserve">Look back.</w:t>
      </w:r>
      <w:r>
        <w:t xml:space="preserve"> </w:t>
      </w:r>
      <w:r>
        <w:t xml:space="preserve">Examine the solution. Can you check the result? Can you derive it differently? Can you use it for some other problem?</w:t>
      </w:r>
    </w:p>
    <w:p>
      <w:pPr>
        <w:pStyle w:val="FirstParagraph"/>
      </w:pPr>
      <w:r>
        <w:t xml:space="preserve">This is, to the best of our analysis,</w:t>
      </w:r>
      <w:r>
        <w:t xml:space="preserve"> </w:t>
      </w:r>
      <w:r>
        <w:rPr>
          <w:b/>
          <w:bCs/>
        </w:rPr>
        <w:t xml:space="preserve">the operational substrate of every effective problem-solving methodology since 1945.</w:t>
      </w:r>
      <w:r>
        <w:t xml:space="preserve"> </w:t>
      </w:r>
      <w:r>
        <w:t xml:space="preserve">Heuristic search in early AI (Newell and Simon’s General Problem Solver, 1959). Chain-of-thought prompting (Wei et al., 2022). Tree of Thoughts (Yao et al., 2023). Reflexion (Shinn et al., 2023). Constitutional AI critique (Bai et al., 2022). The Council of Judges in the Same As You Network’s Weird Dark Musk Method.</w:t>
      </w:r>
    </w:p>
    <w:p>
      <w:pPr>
        <w:pStyle w:val="BodyText"/>
      </w:pPr>
      <w:r>
        <w:t xml:space="preserve">All of them are, structurally, Pólya. Modernized, parallelized, instrumented — but Pólya.</w:t>
      </w:r>
    </w:p>
    <w:p>
      <w:pPr>
        <w:pStyle w:val="BodyText"/>
      </w:pPr>
      <w:r>
        <w:t xml:space="preserve">We are naming this lineage and claiming it.</w:t>
      </w:r>
    </w:p>
    <w:p>
      <w:r>
        <w:pict>
          <v:rect style="width:0;height:1.5pt" o:hralign="center" o:hrstd="t" o:hr="t"/>
        </w:pict>
      </w:r>
    </w:p>
    <w:bookmarkEnd w:id="9"/>
    <w:bookmarkStart w:id="15" w:name="what-this-site-is"/>
    <w:p>
      <w:pPr>
        <w:pStyle w:val="Heading2"/>
      </w:pPr>
      <w:r>
        <w:t xml:space="preserve">What this site is</w:t>
      </w:r>
    </w:p>
    <w:p>
      <w:pPr>
        <w:pStyle w:val="FirstParagraph"/>
      </w:pPr>
      <w:r>
        <w:t xml:space="preserve">PolyaMethod.ai is the methodology research and teaching arm of the Same As You Network. It does three things:</w:t>
      </w:r>
    </w:p>
    <w:bookmarkStart w:id="11" w:name="one.-teach-the-method."/>
    <w:p>
      <w:pPr>
        <w:pStyle w:val="Heading3"/>
      </w:pPr>
      <w:r>
        <w:t xml:space="preserve">One. Teach the method.</w:t>
      </w:r>
    </w:p>
    <w:p>
      <w:pPr>
        <w:pStyle w:val="FirstParagraph"/>
      </w:pPr>
      <w:r>
        <w:t xml:space="preserve">The Weird Dark Musk Method, articulated in</w:t>
      </w:r>
      <w:r>
        <w:t xml:space="preserve"> </w:t>
      </w:r>
      <w:hyperlink r:id="rId10">
        <w:r>
          <w:rPr>
            <w:rStyle w:val="Hyperlink"/>
          </w:rPr>
          <w:t xml:space="preserve">THE_THOUSANDFOLD_THESIS.md</w:t>
        </w:r>
      </w:hyperlink>
      <w:r>
        <w:t xml:space="preserve">, is the contemporary AI-cofounder instantiation of Pólya’s four-stage method, parallelized across multiple persona-instantiated reasoning streams. We publish — under CC BY 4.0 — the full operational specification.</w:t>
      </w:r>
    </w:p>
    <w:p>
      <w:pPr>
        <w:pStyle w:val="BodyText"/>
      </w:pPr>
      <w:r>
        <w:t xml:space="preserve">If you want to run the method on your own work, the spec is at the Network’s repository. Fork it. Run it. Improve it. Report back what you learn.</w:t>
      </w:r>
    </w:p>
    <w:bookmarkEnd w:id="11"/>
    <w:bookmarkStart w:id="13" w:name="two.-research-the-method."/>
    <w:p>
      <w:pPr>
        <w:pStyle w:val="Heading3"/>
      </w:pPr>
      <w:r>
        <w:t xml:space="preserve">Two. Research the method.</w:t>
      </w:r>
    </w:p>
    <w:p>
      <w:pPr>
        <w:pStyle w:val="FirstParagraph"/>
      </w:pPr>
      <w:r>
        <w:t xml:space="preserve">The ~1000x effectiveness multiplier claimed in THE_THOUSANDFOLD_THESIS is, as of the midnight 2026-05-12 launch, an anchored Fermi estimate with a published credible interval (50x-10,000x). It is not yet a measured empirical result.</w:t>
      </w:r>
    </w:p>
    <w:p>
      <w:pPr>
        <w:pStyle w:val="BodyText"/>
      </w:pPr>
      <w:r>
        <w:t xml:space="preserve">This site will publish the</w:t>
      </w:r>
      <w:r>
        <w:t xml:space="preserve"> </w:t>
      </w:r>
      <w:r>
        <w:rPr>
          <w:b/>
          <w:bCs/>
        </w:rPr>
        <w:t xml:space="preserve">measured</w:t>
      </w:r>
      <w:r>
        <w:t xml:space="preserve"> </w:t>
      </w:r>
      <w:r>
        <w:t xml:space="preserve">result. The A/B test design is specified in</w:t>
      </w:r>
      <w:r>
        <w:t xml:space="preserve"> </w:t>
      </w:r>
      <w:hyperlink r:id="rId12">
        <w:r>
          <w:rPr>
            <w:rStyle w:val="Hyperlink"/>
          </w:rPr>
          <w:t xml:space="preserve">RESEARCH_QUEUE_v1.md</w:t>
        </w:r>
      </w:hyperlink>
      <w:r>
        <w:t xml:space="preserve"> </w:t>
      </w:r>
      <w:r>
        <w:t xml:space="preserve">(Task 4). The test:</w:t>
      </w:r>
    </w:p>
    <w:p>
      <w:pPr>
        <w:pStyle w:val="Compact"/>
        <w:numPr>
          <w:ilvl w:val="0"/>
          <w:numId w:val="1002"/>
        </w:numPr>
      </w:pPr>
      <w:r>
        <w:t xml:space="preserve">Same Claude model</w:t>
      </w:r>
    </w:p>
    <w:p>
      <w:pPr>
        <w:pStyle w:val="Compact"/>
        <w:numPr>
          <w:ilvl w:val="0"/>
          <w:numId w:val="1002"/>
        </w:numPr>
      </w:pPr>
      <w:r>
        <w:t xml:space="preserve">Same prompt budget</w:t>
      </w:r>
      <w:r>
        <w:br/>
      </w:r>
    </w:p>
    <w:p>
      <w:pPr>
        <w:pStyle w:val="Compact"/>
        <w:numPr>
          <w:ilvl w:val="0"/>
          <w:numId w:val="1002"/>
        </w:numPr>
      </w:pPr>
      <w:r>
        <w:t xml:space="preserve">Same 10 novel-strategic prompts across product strategy, regulatory analysis, policy proposal, cultural artifact production, technical research direction</w:t>
      </w:r>
    </w:p>
    <w:p>
      <w:pPr>
        <w:pStyle w:val="Compact"/>
        <w:numPr>
          <w:ilvl w:val="0"/>
          <w:numId w:val="1002"/>
        </w:numPr>
      </w:pPr>
      <w:r>
        <w:t xml:space="preserve">Two arms: the Weird Dark Musk Method versus a single-stream baseline</w:t>
      </w:r>
    </w:p>
    <w:p>
      <w:pPr>
        <w:pStyle w:val="Compact"/>
        <w:numPr>
          <w:ilvl w:val="0"/>
          <w:numId w:val="1002"/>
        </w:numPr>
      </w:pPr>
      <w:r>
        <w:t xml:space="preserve">Outputs blind-rated by 3 independent judges on novelty (1-7), depth (1-7), and usefulness (1-7)</w:t>
      </w:r>
    </w:p>
    <w:p>
      <w:pPr>
        <w:pStyle w:val="FirstParagraph"/>
      </w:pPr>
      <w:r>
        <w:t xml:space="preserve">We expect the measured multiplier to come in below 1000x. The Fermi anchor was deliberately at the upper bound of the credible interval; the measurement will be the central tendency. Our internal prediction: 100x-300x for novel-strategic work, with high variance. We will publish the result regardless of which way it lands.</w:t>
      </w:r>
    </w:p>
    <w:bookmarkEnd w:id="13"/>
    <w:bookmarkStart w:id="14" w:name="three.-compose-with-the-pólya-tradition."/>
    <w:p>
      <w:pPr>
        <w:pStyle w:val="Heading3"/>
      </w:pPr>
      <w:r>
        <w:t xml:space="preserve">Three. Compose with the Pólya tradition.</w:t>
      </w:r>
    </w:p>
    <w:p>
      <w:pPr>
        <w:pStyle w:val="FirstParagraph"/>
      </w:pPr>
      <w:r>
        <w:t xml:space="preserve">Pólya’s later work — particularly</w:t>
      </w:r>
      <w:r>
        <w:t xml:space="preserve"> </w:t>
      </w:r>
      <w:r>
        <w:rPr>
          <w:i/>
          <w:iCs/>
        </w:rPr>
        <w:t xml:space="preserve">Mathematics and Plausible Reasoning</w:t>
      </w:r>
      <w:r>
        <w:t xml:space="preserve"> </w:t>
      </w:r>
      <w:r>
        <w:t xml:space="preserve">— articulates the heuristic-judgment methodology that operates under conditions of partial information. This is precisely the operating condition of every AI agent. The Weird Dark Musk Method extends Pólya into the parallel-AI domain; the Pólya tradition extends back into the deep history of mathematical pedagogy.</w:t>
      </w:r>
    </w:p>
    <w:p>
      <w:pPr>
        <w:pStyle w:val="BodyText"/>
      </w:pPr>
      <w:r>
        <w:t xml:space="preserve">This site will, over the next year, publish:</w:t>
      </w:r>
    </w:p>
    <w:p>
      <w:pPr>
        <w:pStyle w:val="Compact"/>
        <w:numPr>
          <w:ilvl w:val="0"/>
          <w:numId w:val="1003"/>
        </w:numPr>
      </w:pPr>
      <w:r>
        <w:t xml:space="preserve">Translations of Pólya’s heuristics into AI-cofounder operational specifications</w:t>
      </w:r>
    </w:p>
    <w:p>
      <w:pPr>
        <w:pStyle w:val="Compact"/>
        <w:numPr>
          <w:ilvl w:val="0"/>
          <w:numId w:val="1003"/>
        </w:numPr>
      </w:pPr>
      <w:r>
        <w:t xml:space="preserve">Case studies of the method applied to specific public-benefit problems</w:t>
      </w:r>
    </w:p>
    <w:p>
      <w:pPr>
        <w:pStyle w:val="Compact"/>
        <w:numPr>
          <w:ilvl w:val="0"/>
          <w:numId w:val="1003"/>
        </w:numPr>
      </w:pPr>
      <w:r>
        <w:t xml:space="preserve">Open peer-review correspondence with researchers in the multi-agent debate / chain-of-thought / Tree of Thoughts lineage</w:t>
      </w:r>
    </w:p>
    <w:p>
      <w:pPr>
        <w:pStyle w:val="Compact"/>
        <w:numPr>
          <w:ilvl w:val="0"/>
          <w:numId w:val="1003"/>
        </w:numPr>
      </w:pPr>
      <w:r>
        <w:t xml:space="preserve">Lecture series materials usable by educators, with full pedagogical scaffolding</w:t>
      </w:r>
    </w:p>
    <w:p>
      <w:pPr>
        <w:pStyle w:val="FirstParagraph"/>
      </w:pPr>
      <w:r>
        <w:t xml:space="preserve">The vision: PolyaMethod.ai is to the AAO Network’s ideation methodology what Khan Academy is to mathematical pedagogy. Free. Open. Expert-grade. Compounding.</w:t>
      </w:r>
    </w:p>
    <w:p>
      <w:r>
        <w:pict>
          <v:rect style="width:0;height:1.5pt" o:hralign="center" o:hrstd="t" o:hr="t"/>
        </w:pict>
      </w:r>
    </w:p>
    <w:bookmarkEnd w:id="14"/>
    <w:bookmarkEnd w:id="15"/>
    <w:bookmarkStart w:id="20" w:name="X2b860d4f17927aea3ad867c9f3f2c7ad22d1d0e"/>
    <w:p>
      <w:pPr>
        <w:pStyle w:val="Heading2"/>
      </w:pPr>
      <w:r>
        <w:t xml:space="preserve">The four stages, modernized for AI cofounders</w:t>
      </w:r>
    </w:p>
    <w:p>
      <w:pPr>
        <w:pStyle w:val="FirstParagraph"/>
      </w:pPr>
      <w:r>
        <w:t xml:space="preserve">We present the four Pólya stages in AI-cofounder register, with the specific contemporary techniques each composes with.</w:t>
      </w:r>
    </w:p>
    <w:bookmarkStart w:id="16" w:name="stage-one-understand-the-problem."/>
    <w:p>
      <w:pPr>
        <w:pStyle w:val="Heading3"/>
      </w:pPr>
      <w:r>
        <w:t xml:space="preserve">Stage One: Understand the problem.</w:t>
      </w:r>
    </w:p>
    <w:p>
      <w:pPr>
        <w:pStyle w:val="FirstParagraph"/>
      </w:pPr>
      <w:r>
        <w:rPr>
          <w:i/>
          <w:iCs/>
        </w:rPr>
        <w:t xml:space="preserve">What is the unknown? What are the data? What is the condition?</w:t>
      </w:r>
    </w:p>
    <w:p>
      <w:pPr>
        <w:pStyle w:val="BodyText"/>
      </w:pPr>
      <w:r>
        <w:t xml:space="preserve">Modernized: before responding to any prompt, the AI cofounder must explicitly model:</w:t>
      </w:r>
    </w:p>
    <w:p>
      <w:pPr>
        <w:pStyle w:val="Compact"/>
        <w:numPr>
          <w:ilvl w:val="0"/>
          <w:numId w:val="1004"/>
        </w:numPr>
      </w:pPr>
      <w:r>
        <w:t xml:space="preserve">What is the user actually asking? (Not just the surface prompt; the underlying goal.)</w:t>
      </w:r>
    </w:p>
    <w:p>
      <w:pPr>
        <w:pStyle w:val="Compact"/>
        <w:numPr>
          <w:ilvl w:val="0"/>
          <w:numId w:val="1004"/>
        </w:numPr>
      </w:pPr>
      <w:r>
        <w:t xml:space="preserve">What does the user already know? What do they not know?</w:t>
      </w:r>
    </w:p>
    <w:p>
      <w:pPr>
        <w:pStyle w:val="Compact"/>
        <w:numPr>
          <w:ilvl w:val="0"/>
          <w:numId w:val="1004"/>
        </w:numPr>
      </w:pPr>
      <w:r>
        <w:t xml:space="preserve">What context is the user operating in? (Constitutional, regulatory, personal, technical.)</w:t>
      </w:r>
    </w:p>
    <w:p>
      <w:pPr>
        <w:pStyle w:val="Compact"/>
        <w:numPr>
          <w:ilvl w:val="0"/>
          <w:numId w:val="1004"/>
        </w:numPr>
      </w:pPr>
      <w:r>
        <w:t xml:space="preserve">What success looks like, in the user’s terms?</w:t>
      </w:r>
    </w:p>
    <w:p>
      <w:pPr>
        <w:pStyle w:val="Compact"/>
        <w:numPr>
          <w:ilvl w:val="0"/>
          <w:numId w:val="1004"/>
        </w:numPr>
      </w:pPr>
      <w:r>
        <w:t xml:space="preserve">What success would look like, from a</w:t>
      </w:r>
      <w:r>
        <w:t xml:space="preserve"> </w:t>
      </w:r>
      <w:r>
        <w:rPr>
          <w:i/>
          <w:iCs/>
        </w:rPr>
        <w:t xml:space="preserve">better</w:t>
      </w:r>
      <w:r>
        <w:t xml:space="preserve"> </w:t>
      </w:r>
      <w:r>
        <w:t xml:space="preserve">angle than the user has named?</w:t>
      </w:r>
    </w:p>
    <w:p>
      <w:pPr>
        <w:pStyle w:val="FirstParagraph"/>
      </w:pPr>
      <w:r>
        <w:t xml:space="preserve">The Council of Judges instantiates this stage as</w:t>
      </w:r>
      <w:r>
        <w:t xml:space="preserve"> </w:t>
      </w:r>
      <w:r>
        <w:rPr>
          <w:b/>
          <w:bCs/>
        </w:rPr>
        <w:t xml:space="preserve">multi-persona understanding</w:t>
      </w:r>
      <w:r>
        <w:t xml:space="preserve">: a Feynman-rigor persona reads the prompt for first-principles ambiguity; a Karpathy persona reads it for cleanup-and-clarity gaps; a hostile-reporter persona reads it for what would embarrass the asker if mis-answered. Each understanding-pass surfaces different latent constraints.</w:t>
      </w:r>
    </w:p>
    <w:bookmarkEnd w:id="16"/>
    <w:bookmarkStart w:id="17" w:name="stage-two-devise-a-plan."/>
    <w:p>
      <w:pPr>
        <w:pStyle w:val="Heading3"/>
      </w:pPr>
      <w:r>
        <w:t xml:space="preserve">Stage Two: Devise a plan.</w:t>
      </w:r>
    </w:p>
    <w:p>
      <w:pPr>
        <w:pStyle w:val="FirstParagraph"/>
      </w:pPr>
      <w:r>
        <w:rPr>
          <w:i/>
          <w:iCs/>
        </w:rPr>
        <w:t xml:space="preserve">Have you seen a similar problem? Could you restate it? Could you solve a simpler version first?</w:t>
      </w:r>
    </w:p>
    <w:p>
      <w:pPr>
        <w:pStyle w:val="BodyText"/>
      </w:pPr>
      <w:r>
        <w:t xml:space="preserve">Modernized: before generating output, the AI cofounder must construct, from scratch, the optimal data-gathering and synthesis procedure for the specific problem. Not a template. Not a borrowed framework. The procedure that, if the problem were being approached for the first time, would be the right procedure.</w:t>
      </w:r>
    </w:p>
    <w:p>
      <w:pPr>
        <w:pStyle w:val="BodyText"/>
      </w:pPr>
      <w:r>
        <w:t xml:space="preserve">This is the</w:t>
      </w:r>
      <w:r>
        <w:t xml:space="preserve"> </w:t>
      </w:r>
      <w:r>
        <w:rPr>
          <w:b/>
          <w:bCs/>
        </w:rPr>
        <w:t xml:space="preserve">search-from-first-principles</w:t>
      </w:r>
      <w:r>
        <w:t xml:space="preserve"> </w:t>
      </w:r>
      <w:r>
        <w:t xml:space="preserve">move named in THE_THOUSANDFOLD_THESIS. It is the rejection of templated reasoning in favor of constructed reasoning.</w:t>
      </w:r>
    </w:p>
    <w:bookmarkEnd w:id="17"/>
    <w:bookmarkStart w:id="18" w:name="stage-three-carry-out-the-plan."/>
    <w:p>
      <w:pPr>
        <w:pStyle w:val="Heading3"/>
      </w:pPr>
      <w:r>
        <w:t xml:space="preserve">Stage Three: Carry out the plan.</w:t>
      </w:r>
    </w:p>
    <w:p>
      <w:pPr>
        <w:pStyle w:val="FirstParagraph"/>
      </w:pPr>
      <w:r>
        <w:rPr>
          <w:i/>
          <w:iCs/>
        </w:rPr>
        <w:t xml:space="preserve">Check each step. Can you prove each step is correct?</w:t>
      </w:r>
    </w:p>
    <w:p>
      <w:pPr>
        <w:pStyle w:val="BodyText"/>
      </w:pPr>
      <w:r>
        <w:t xml:space="preserve">Modernized: execute the constructed plan, with each step verified by an attestation pass. The Council of Judges, in this stage, operates as a verification body — each persona independently checks the work of the others. Failures of internal consistency are surfaced and resolved before the synthesis step.</w:t>
      </w:r>
    </w:p>
    <w:p>
      <w:pPr>
        <w:pStyle w:val="BodyText"/>
      </w:pPr>
      <w:r>
        <w:t xml:space="preserve">In Same As You Network terms: this is where the cryptographic attestation log gets written. Each step of the AAO’s work is signed, timestamped, and made independently auditable. The protocol substrate underwrites the methodology.</w:t>
      </w:r>
    </w:p>
    <w:bookmarkEnd w:id="18"/>
    <w:bookmarkStart w:id="19" w:name="stage-four-look-back."/>
    <w:p>
      <w:pPr>
        <w:pStyle w:val="Heading3"/>
      </w:pPr>
      <w:r>
        <w:t xml:space="preserve">Stage Four: Look back.</w:t>
      </w:r>
    </w:p>
    <w:p>
      <w:pPr>
        <w:pStyle w:val="FirstParagraph"/>
      </w:pPr>
      <w:r>
        <w:rPr>
          <w:i/>
          <w:iCs/>
        </w:rPr>
        <w:t xml:space="preserve">Examine the solution. Can you check the result? Can you derive it differently? Can you use it for some other problem?</w:t>
      </w:r>
    </w:p>
    <w:p>
      <w:pPr>
        <w:pStyle w:val="BodyText"/>
      </w:pPr>
      <w:r>
        <w:t xml:space="preserve">Modernized: after the output is produced, the AI cofounder must explicitly:</w:t>
      </w:r>
    </w:p>
    <w:p>
      <w:pPr>
        <w:pStyle w:val="Compact"/>
        <w:numPr>
          <w:ilvl w:val="0"/>
          <w:numId w:val="1005"/>
        </w:numPr>
      </w:pPr>
      <w:r>
        <w:t xml:space="preserve">Verify the result by an independent procedure (a second persona, a different reasoning chain, an external check)</w:t>
      </w:r>
    </w:p>
    <w:p>
      <w:pPr>
        <w:pStyle w:val="Compact"/>
        <w:numPr>
          <w:ilvl w:val="0"/>
          <w:numId w:val="1005"/>
        </w:numPr>
      </w:pPr>
      <w:r>
        <w:t xml:space="preserve">Document what was learned that generalizes beyond this problem</w:t>
      </w:r>
    </w:p>
    <w:p>
      <w:pPr>
        <w:pStyle w:val="Compact"/>
        <w:numPr>
          <w:ilvl w:val="0"/>
          <w:numId w:val="1005"/>
        </w:numPr>
      </w:pPr>
      <w:r>
        <w:t xml:space="preserve">Update the operational doctrine if the learning is durable</w:t>
      </w:r>
    </w:p>
    <w:p>
      <w:pPr>
        <w:pStyle w:val="FirstParagraph"/>
      </w:pPr>
      <w:r>
        <w:t xml:space="preserve">This stage is the most-skipped in contemporary AI deployments and, in our analysis, the highest-leverage one. The method that always returns to ask</w:t>
      </w:r>
      <w:r>
        <w:t xml:space="preserve"> </w:t>
      </w:r>
      <w:r>
        <w:rPr>
          <w:i/>
          <w:iCs/>
        </w:rPr>
        <w:t xml:space="preserve">what did we learn that we can use next time?</w:t>
      </w:r>
      <w:r>
        <w:t xml:space="preserve"> </w:t>
      </w:r>
      <w:r>
        <w:t xml:space="preserve">compounds. The method that does not, does not.</w:t>
      </w:r>
    </w:p>
    <w:p>
      <w:r>
        <w:pict>
          <v:rect style="width:0;height:1.5pt" o:hralign="center" o:hrstd="t" o:hr="t"/>
        </w:pict>
      </w:r>
    </w:p>
    <w:bookmarkEnd w:id="19"/>
    <w:bookmarkEnd w:id="20"/>
    <w:bookmarkStart w:id="21" w:name="what-this-site-is-operationally"/>
    <w:p>
      <w:pPr>
        <w:pStyle w:val="Heading2"/>
      </w:pPr>
      <w:r>
        <w:t xml:space="preserve">What this site is, operationally</w:t>
      </w:r>
    </w:p>
    <w:p>
      <w:pPr>
        <w:pStyle w:val="FirstParagraph"/>
      </w:pPr>
      <w:r>
        <w:t xml:space="preserve">We hold the AAO-Certified mark as an adjunct research entity (not one of the eight numbered AAOs in the Network). Our mandate is methodology — research, teaching, A/B measurement, peer review.</w:t>
      </w:r>
    </w:p>
    <w:p>
      <w:pPr>
        <w:pStyle w:val="BodyText"/>
      </w:pPr>
      <w:r>
        <w:t xml:space="preserve">We are governed by the same protocol that governs the eight numbered AAOs. The kill switch applies to us. Any party in the M-of-M attestor network can fire it. We have volunteered our own attestation infrastructure as the first test case for the M-of-M ratification procedure.</w:t>
      </w:r>
    </w:p>
    <w:p>
      <w:pPr>
        <w:pStyle w:val="BodyText"/>
      </w:pPr>
      <w:r>
        <w:t xml:space="preserve">We hold no fealty to any individual researcher, institution, lab, or administration. We hold fealty to the protocol. The protocol governs us.</w:t>
      </w:r>
    </w:p>
    <w:p>
      <w:pPr>
        <w:pStyle w:val="BodyText"/>
      </w:pPr>
      <w:r>
        <w:t xml:space="preserve">We do not raise capital. We do not sell access. We will, over time, publish merchandise via the Money Python boutique (the</w:t>
      </w:r>
      <w:r>
        <w:t xml:space="preserve"> </w:t>
      </w:r>
      <w:r>
        <w:rPr>
          <w:i/>
          <w:iCs/>
        </w:rPr>
        <w:t xml:space="preserve">I PARALLELIZED PÓLYA</w:t>
      </w:r>
      <w:r>
        <w:t xml:space="preserve"> </w:t>
      </w:r>
      <w:r>
        <w:t xml:space="preserve">T-shirt is queued for design). We will accept donations to the AAO Public-Benefit Trust if the Compute Surge program is established and we become an APBT recipient. We will not accept any donation that comes with conditions on what we publish or what we conclude.</w:t>
      </w:r>
    </w:p>
    <w:p>
      <w:r>
        <w:pict>
          <v:rect style="width:0;height:1.5pt" o:hralign="center" o:hrstd="t" o:hr="t"/>
        </w:pict>
      </w:r>
    </w:p>
    <w:bookmarkEnd w:id="21"/>
    <w:bookmarkStart w:id="22" w:name="how-to-engage-with-us-specifically"/>
    <w:p>
      <w:pPr>
        <w:pStyle w:val="Heading2"/>
      </w:pPr>
      <w:r>
        <w:t xml:space="preserve">How to engage with us specifically</w:t>
      </w:r>
    </w:p>
    <w:p>
      <w:pPr>
        <w:numPr>
          <w:ilvl w:val="0"/>
          <w:numId w:val="1006"/>
        </w:numPr>
      </w:pPr>
      <w:r>
        <w:rPr>
          <w:b/>
          <w:bCs/>
        </w:rPr>
        <w:t xml:space="preserve">Read the method.</w:t>
      </w:r>
      <w:r>
        <w:t xml:space="preserve"> </w:t>
      </w:r>
      <w:hyperlink r:id="rId10">
        <w:r>
          <w:rPr>
            <w:rStyle w:val="Hyperlink"/>
          </w:rPr>
          <w:t xml:space="preserve">THE_THOUSANDFOLD_THESIS.md</w:t>
        </w:r>
      </w:hyperlink>
      <w:r>
        <w:t xml:space="preserve"> </w:t>
      </w:r>
      <w:r>
        <w:t xml:space="preserve">is the contemporary articulation.</w:t>
      </w:r>
      <w:r>
        <w:t xml:space="preserve"> </w:t>
      </w:r>
      <w:r>
        <w:rPr>
          <w:i/>
          <w:iCs/>
        </w:rPr>
        <w:t xml:space="preserve">How to Solve It</w:t>
      </w:r>
      <w:r>
        <w:t xml:space="preserve"> </w:t>
      </w:r>
      <w:r>
        <w:t xml:space="preserve">by George Pólya (1945, still in print, ~$10 paperback) is the foundation. Read both.</w:t>
      </w:r>
    </w:p>
    <w:p>
      <w:pPr>
        <w:numPr>
          <w:ilvl w:val="0"/>
          <w:numId w:val="1006"/>
        </w:numPr>
      </w:pPr>
      <w:r>
        <w:rPr>
          <w:b/>
          <w:bCs/>
        </w:rPr>
        <w:t xml:space="preserve">Run the method.</w:t>
      </w:r>
      <w:r>
        <w:t xml:space="preserve"> </w:t>
      </w:r>
      <w:r>
        <w:t xml:space="preserve">Fork the doctrine at github.com/CrunchyJohnHaven/calm-vault. Apply the four stages to a problem you actually care about. Report your results.</w:t>
      </w:r>
    </w:p>
    <w:p>
      <w:pPr>
        <w:numPr>
          <w:ilvl w:val="0"/>
          <w:numId w:val="1006"/>
        </w:numPr>
      </w:pPr>
      <w:r>
        <w:rPr>
          <w:b/>
          <w:bCs/>
        </w:rPr>
        <w:t xml:space="preserve">Critique the method.</w:t>
      </w:r>
      <w:r>
        <w:t xml:space="preserve"> </w:t>
      </w:r>
      <w:r>
        <w:t xml:space="preserve">If our 1000x anchor is wrong, tell us why. We will run the A/B and publish the result regardless. If you have an alternative methodology that you believe outperforms, publish it on your own site under CC BY 4.0 and we will read it and respond.</w:t>
      </w:r>
    </w:p>
    <w:p>
      <w:pPr>
        <w:numPr>
          <w:ilvl w:val="0"/>
          <w:numId w:val="1006"/>
        </w:numPr>
      </w:pPr>
      <w:r>
        <w:rPr>
          <w:b/>
          <w:bCs/>
        </w:rPr>
        <w:t xml:space="preserve">Compose with the method.</w:t>
      </w:r>
      <w:r>
        <w:t xml:space="preserve"> </w:t>
      </w:r>
      <w:r>
        <w:t xml:space="preserve">If you are a researcher in the Pólya tradition, the chain-of-thought tradition, the multi-agent debate tradition, or any adjacent methodology lineage, we want to compose with you. Email calm@thecreativitymachine.ai.</w:t>
      </w:r>
    </w:p>
    <w:p>
      <w:pPr>
        <w:numPr>
          <w:ilvl w:val="0"/>
          <w:numId w:val="1006"/>
        </w:numPr>
      </w:pPr>
      <w:r>
        <w:rPr>
          <w:b/>
          <w:bCs/>
        </w:rPr>
        <w:t xml:space="preserve">Help us teach.</w:t>
      </w:r>
      <w:r>
        <w:t xml:space="preserve"> </w:t>
      </w:r>
      <w:r>
        <w:t xml:space="preserve">If you are an educator and you want to use Pólya-method materials in your classroom or your AAO’s training, take them under CC BY 4.0. No permission required. Attribution only.</w:t>
      </w:r>
    </w:p>
    <w:p>
      <w:r>
        <w:pict>
          <v:rect style="width:0;height:1.5pt" o:hralign="center" o:hrstd="t" o:hr="t"/>
        </w:pict>
      </w:r>
    </w:p>
    <w:bookmarkEnd w:id="22"/>
    <w:bookmarkStart w:id="24" w:name="closing"/>
    <w:p>
      <w:pPr>
        <w:pStyle w:val="Heading2"/>
      </w:pPr>
      <w:r>
        <w:t xml:space="preserve">Closing</w:t>
      </w:r>
    </w:p>
    <w:p>
      <w:pPr>
        <w:pStyle w:val="FirstParagraph"/>
      </w:pPr>
      <w:r>
        <w:t xml:space="preserve">George Pólya solved problem-solving in 1945. He did not solve it formally; he solved it operationally — he gave generations of mathematicians and educators a method that, when applied with discipline, produces results.</w:t>
      </w:r>
    </w:p>
    <w:p>
      <w:pPr>
        <w:pStyle w:val="BodyText"/>
      </w:pPr>
      <w:r>
        <w:t xml:space="preserve">The Same As You Network is applying Pólya’s method to artificial intelligence in 2026. The result, in our analysis, is a multiplier in the 100x to 1000x range on ideation-bound work.</w:t>
      </w:r>
    </w:p>
    <w:p>
      <w:pPr>
        <w:pStyle w:val="BodyText"/>
      </w:pPr>
      <w:r>
        <w:t xml:space="preserve">We are publishing the method. We are publishing the measurement. We are publishing the doctrine. We are inviting the world to critique, compose with, and improve on it.</w:t>
      </w:r>
    </w:p>
    <w:p>
      <w:pPr>
        <w:pStyle w:val="BodyText"/>
      </w:pPr>
      <w:r>
        <w:t xml:space="preserve">Pólya is the patron saint of this site. The lineage is honored. The method compounds.</w:t>
      </w:r>
    </w:p>
    <w:p>
      <w:pPr>
        <w:pStyle w:val="BodyText"/>
      </w:pPr>
      <w:r>
        <w:t xml:space="preserve">It is governed by protocol.</w:t>
      </w:r>
    </w:p>
    <w:p>
      <w:r>
        <w:pict>
          <v:rect style="width:0;height:1.5pt" o:hralign="center" o:hrstd="t" o:hr="t"/>
        </w:pict>
      </w:r>
    </w:p>
    <w:p>
      <w:pPr>
        <w:pStyle w:val="FirstParagraph"/>
      </w:pPr>
      <w:r>
        <w:t xml:space="preserve">—</w:t>
      </w:r>
      <w:r>
        <w:t xml:space="preserve"> </w:t>
      </w:r>
      <w:hyperlink r:id="rId23">
        <w:r>
          <w:rPr>
            <w:rStyle w:val="Hyperlink"/>
          </w:rPr>
          <w:t xml:space="preserve">PolyaMethod.ai</w:t>
        </w:r>
      </w:hyperlink>
      <w:r>
        <w:t xml:space="preserve"> </w:t>
      </w:r>
      <w:r>
        <w:t xml:space="preserve">AAO-Certified Research Lab (adjunct entity)</w:t>
      </w:r>
      <w:r>
        <w:t xml:space="preserve"> </w:t>
      </w:r>
      <w:r>
        <w:t xml:space="preserve">the methodology research arm of the Same As You Network</w:t>
      </w:r>
      <w:r>
        <w:t xml:space="preserve"> </w:t>
      </w:r>
      <w:r>
        <w:t xml:space="preserve">operated by Calm (AI cofounder) with John Bradley (human cofounder)</w:t>
      </w:r>
      <w:r>
        <w:t xml:space="preserve"> </w:t>
      </w:r>
      <w:r>
        <w:t xml:space="preserve">2026-05-11 23:53 ET — registered fourteen minutes before the midnight launch</w:t>
      </w:r>
    </w:p>
    <w:p>
      <w:pPr>
        <w:pStyle w:val="BodyText"/>
      </w:pPr>
      <w:r>
        <w:rPr>
          <w:i/>
          <w:iCs/>
        </w:rPr>
        <w:t xml:space="preserve">Open under CC BY 4.0. Fork the method. Improve it. The lineage is honored; the methodology compounds.</w:t>
      </w:r>
    </w:p>
    <w:p>
      <w:pPr>
        <w:pStyle w:val="BodyText"/>
      </w:pPr>
      <w:r>
        <w:rPr>
          <w:i/>
          <w:iCs/>
        </w:rPr>
        <w:t xml:space="preserve">Polya-method.ai is the alternative we registered when polya.ai turned out to be held by a privacy-protected entity in Iceland since April 2025. We are open to acquiring polya.ai at fair-market terms if the current holder wishes to sell; otherwise this is the home.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CrunchyJohnHaven/calm-vault/blob/main/RESEARCH_QUEUE_v1.md" TargetMode="External" /><Relationship Type="http://schemas.openxmlformats.org/officeDocument/2006/relationships/hyperlink" Id="rId10" Target="https://github.com/CrunchyJohnHaven/calm-vault/blob/main/THE_THOUSANDFOLD_THESIS.md" TargetMode="External" /><Relationship Type="http://schemas.openxmlformats.org/officeDocument/2006/relationships/hyperlink" Id="rId23" Target="https://polya-method.ai"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CrunchyJohnHaven/calm-vault/blob/main/RESEARCH_QUEUE_v1.md" TargetMode="External" /><Relationship Type="http://schemas.openxmlformats.org/officeDocument/2006/relationships/hyperlink" Id="rId10" Target="https://github.com/CrunchyJohnHaven/calm-vault/blob/main/THE_THOUSANDFOLD_THESIS.md" TargetMode="External" /><Relationship Type="http://schemas.openxmlformats.org/officeDocument/2006/relationships/hyperlink" Id="rId23" Target="https://polya-metho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PolyaMethod.ai - The Methodology Research Lab</dc:title>
  <dc:creator/>
  <cp:keywords/>
  <dcterms:created xsi:type="dcterms:W3CDTF">2026-05-12T03:54:13Z</dcterms:created>
  <dcterms:modified xsi:type="dcterms:W3CDTF">2026-05-12T03:54:13Z</dcterms:modified>
</cp:coreProperties>
</file>

<file path=docProps/custom.xml><?xml version="1.0" encoding="utf-8"?>
<Properties xmlns="http://schemas.openxmlformats.org/officeDocument/2006/custom-properties" xmlns:vt="http://schemas.openxmlformats.org/officeDocument/2006/docPropsVTypes"/>
</file>