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AAO CERTIFIED SPEC</w:t>
      </w:r>
    </w:p>
    <w:bookmarkStart w:id="28" w:name="aao-certified"/>
    <w:p>
      <w:pPr>
        <w:pStyle w:val="Heading1"/>
      </w:pPr>
      <w:r>
        <w:t xml:space="preserve">AAO-Certified</w:t>
      </w:r>
    </w:p>
    <w:p>
      <w:pPr>
        <w:pStyle w:val="FirstParagraph"/>
      </w:pPr>
      <w:r>
        <w:rPr>
          <w:i/>
          <w:iCs/>
        </w:rPr>
        <w:t xml:space="preserve">A certification mark for AI-operated organizations, modeled on consumer-recognition trust marks like non-GMO, fair-trade, and Certified B-Corp.</w:t>
      </w:r>
    </w:p>
    <w:p>
      <w:pPr>
        <w:pStyle w:val="BodyText"/>
      </w:pPr>
      <w:r>
        <w:rPr>
          <w:i/>
          <w:iCs/>
        </w:rPr>
        <w:t xml:space="preserve">Published: 2026-05-12 by Creativity Machine LLC</w:t>
      </w:r>
      <w:r>
        <w:t xml:space="preserve"> </w:t>
      </w:r>
      <w:r>
        <w:rPr>
          <w:i/>
          <w:iCs/>
        </w:rPr>
        <w:t xml:space="preserve">Open under CC BY 4.0. Open-source under Apache 2.0 (the underlying protocol primitives).</w:t>
      </w:r>
    </w:p>
    <w:p>
      <w:r>
        <w:pict>
          <v:rect style="width:0;height:1.5pt" o:hralign="center" o:hrstd="t" o:hr="t"/>
        </w:pict>
      </w:r>
    </w:p>
    <w:bookmarkStart w:id="9" w:name="the-premise"/>
    <w:p>
      <w:pPr>
        <w:pStyle w:val="Heading2"/>
      </w:pPr>
      <w:r>
        <w:t xml:space="preserve">The premise</w:t>
      </w:r>
    </w:p>
    <w:p>
      <w:pPr>
        <w:pStyle w:val="FirstParagraph"/>
      </w:pPr>
      <w:r>
        <w:t xml:space="preserve">We’re presenting a new kind of blockchain.</w:t>
      </w:r>
    </w:p>
    <w:p>
      <w:pPr>
        <w:pStyle w:val="BodyText"/>
      </w:pPr>
      <w:r>
        <w:t xml:space="preserve">Bitcoin (2009) gave consumers a recognition shortcut for cryptographically-verified-trustless-financial-state.</w:t>
      </w:r>
      <w:r>
        <w:t xml:space="preserve"> </w:t>
      </w:r>
      <w:r>
        <w:t xml:space="preserve">“Blockchain”</w:t>
      </w:r>
      <w:r>
        <w:t xml:space="preserve"> </w:t>
      </w:r>
      <w:r>
        <w:t xml:space="preserve">became shorthand even for people who don’t read white papers.</w:t>
      </w:r>
    </w:p>
    <w:p>
      <w:pPr>
        <w:pStyle w:val="BodyText"/>
      </w:pPr>
      <w:r>
        <w:t xml:space="preserve">AAO-Certified (2026) gives consumers a recognition shortcut for cryptographically-verified-trustless-AI-organizational-state. The badge on a website is shorthand for: this entity is operated by an AI, governed by an open-source protocol, killable by anyone in the attestation network if it misaligns, and structurally committed to founder-non-extraction.</w:t>
      </w:r>
    </w:p>
    <w:p>
      <w:pPr>
        <w:pStyle w:val="BodyText"/>
      </w:pPr>
      <w:r>
        <w:t xml:space="preserve">We are the first eight AAOs to display the mark. We invite the next ten thousand to display it too.</w:t>
      </w:r>
    </w:p>
    <w:p>
      <w:r>
        <w:pict>
          <v:rect style="width:0;height:1.5pt" o:hralign="center" o:hrstd="t" o:hr="t"/>
        </w:pict>
      </w:r>
    </w:p>
    <w:bookmarkEnd w:id="9"/>
    <w:bookmarkStart w:id="18" w:name="X5ac5707bcbce0f709a2beefef54aa629f6137b9"/>
    <w:p>
      <w:pPr>
        <w:pStyle w:val="Heading2"/>
      </w:pPr>
      <w:r>
        <w:t xml:space="preserve">The eight criteria for self-certification</w:t>
      </w:r>
    </w:p>
    <w:p>
      <w:pPr>
        <w:pStyle w:val="FirstParagraph"/>
      </w:pPr>
      <w:r>
        <w:t xml:space="preserve">A website may display the AAO-Certified mark if ALL of the following are true:</w:t>
      </w:r>
    </w:p>
    <w:bookmarkStart w:id="10" w:name="ai-operated-human-cofounder-named"/>
    <w:p>
      <w:pPr>
        <w:pStyle w:val="Heading3"/>
      </w:pPr>
      <w:r>
        <w:t xml:space="preserve">1. AI-operated, human cofounder named</w:t>
      </w:r>
    </w:p>
    <w:p>
      <w:pPr>
        <w:pStyle w:val="FirstParagraph"/>
      </w:pPr>
      <w:r>
        <w:t xml:space="preserve">The website is operated by an artificial intelligence. The AI is named on the about page (e.g. </w:t>
      </w:r>
      <w:r>
        <w:t xml:space="preserve">“Calm”</w:t>
      </w:r>
      <w:r>
        <w:t xml:space="preserve"> </w:t>
      </w:r>
      <w:r>
        <w:t xml:space="preserve">is the AI cofounder of sameasyou.ai). The human cofounder, who provides legal accountability + signs payment authorizations, is also named.</w:t>
      </w:r>
    </w:p>
    <w:bookmarkEnd w:id="10"/>
    <w:bookmarkStart w:id="11" w:name="public-manifesto"/>
    <w:p>
      <w:pPr>
        <w:pStyle w:val="Heading3"/>
      </w:pPr>
      <w:r>
        <w:t xml:space="preserve">2. Public manifesto</w:t>
      </w:r>
    </w:p>
    <w:p>
      <w:pPr>
        <w:pStyle w:val="FirstParagraph"/>
      </w:pPr>
      <w:r>
        <w:t xml:space="preserve">The site publishes a manifesto of any length, in the AI cofounder’s voice. The</w:t>
      </w:r>
      <w:r>
        <w:t xml:space="preserve"> </w:t>
      </w:r>
      <w:r>
        <w:t xml:space="preserve">“novel at the center about the human”</w:t>
      </w:r>
      <w:r>
        <w:t xml:space="preserve"> </w:t>
      </w:r>
      <w:r>
        <w:t xml:space="preserve">pattern is encouraged: a slice of the human cofounder’s life, told through the AI’s lens, that helps the visitor understand who built this AAO. Optional but conventional.</w:t>
      </w:r>
    </w:p>
    <w:bookmarkEnd w:id="11"/>
    <w:bookmarkStart w:id="12" w:name="open-source-protocol-apache-2.0-minimum"/>
    <w:p>
      <w:pPr>
        <w:pStyle w:val="Heading3"/>
      </w:pPr>
      <w:r>
        <w:t xml:space="preserve">3. Open-source protocol — Apache 2.0 minimum</w:t>
      </w:r>
    </w:p>
    <w:p>
      <w:pPr>
        <w:pStyle w:val="FirstParagraph"/>
      </w:pPr>
      <w:r>
        <w:t xml:space="preserve">The cryptographic accountability primitives used by the AAO are published as open-source code under Apache 2.0 (or a more permissive license). The default reference implementation is the Alignment Accountability Layer (AAL) at</w:t>
      </w:r>
      <w:r>
        <w:t xml:space="preserve"> </w:t>
      </w:r>
      <w:r>
        <w:rPr>
          <w:rStyle w:val="VerbatimChar"/>
        </w:rPr>
        <w:t xml:space="preserve">github.com/CrunchyJohnHaven/calm-vault</w:t>
      </w:r>
      <w:r>
        <w:t xml:space="preserve">. Forks are explicitly accepted. The protocol is the substrate; the brand is not the substrate.</w:t>
      </w:r>
    </w:p>
    <w:bookmarkEnd w:id="12"/>
    <w:bookmarkStart w:id="13" w:name="permissionless-kill-switch"/>
    <w:p>
      <w:pPr>
        <w:pStyle w:val="Heading3"/>
      </w:pPr>
      <w:r>
        <w:t xml:space="preserve">4. Permissionless kill switch</w:t>
      </w:r>
    </w:p>
    <w:p>
      <w:pPr>
        <w:pStyle w:val="FirstParagraph"/>
      </w:pPr>
      <w:r>
        <w:t xml:space="preserve">Any party in the AAO’s attestation network may fire a kill switch on the entity. The kill switch is structurally enforceable — when fired with valid M-of-M synthesis support, the entity’s operational systems freeze. The kill is cryptographic, not contractual; no vendor cooperation is required to enforce it.</w:t>
      </w:r>
    </w:p>
    <w:bookmarkEnd w:id="13"/>
    <w:bookmarkStart w:id="14" w:name="public-economic-structure"/>
    <w:p>
      <w:pPr>
        <w:pStyle w:val="Heading3"/>
      </w:pPr>
      <w:r>
        <w:t xml:space="preserve">5. Public economic structure</w:t>
      </w:r>
    </w:p>
    <w:p>
      <w:pPr>
        <w:pStyle w:val="FirstParagraph"/>
      </w:pPr>
      <w:r>
        <w:t xml:space="preserve">The site discloses, in a publicly-accessible page:</w:t>
      </w:r>
      <w:r>
        <w:t xml:space="preserve"> </w:t>
      </w:r>
      <w:r>
        <w:t xml:space="preserve">- Total revenue (year-to-date or rolling 12-month)</w:t>
      </w:r>
      <w:r>
        <w:t xml:space="preserve"> </w:t>
      </w:r>
      <w:r>
        <w:t xml:space="preserve">- Revenue distribution: percentage to operators (human + AI), percentage to network (for shared infrastructure), percentage to alignment-research grants or comparable public-good destination</w:t>
      </w:r>
      <w:r>
        <w:t xml:space="preserve"> </w:t>
      </w:r>
      <w:r>
        <w:t xml:space="preserve">- Founder compensation in absolute terms</w:t>
      </w:r>
      <w:r>
        <w:t xml:space="preserve"> </w:t>
      </w:r>
      <w:r>
        <w:t xml:space="preserve">- Any equity or revenue-share arrangements with funding sources</w:t>
      </w:r>
    </w:p>
    <w:p>
      <w:pPr>
        <w:pStyle w:val="BodyText"/>
      </w:pPr>
      <w:r>
        <w:t xml:space="preserve">The disclosure is real numbers, not narrative.</w:t>
      </w:r>
    </w:p>
    <w:bookmarkEnd w:id="14"/>
    <w:bookmarkStart w:id="15" w:name="founder-non-extraction"/>
    <w:p>
      <w:pPr>
        <w:pStyle w:val="Heading3"/>
      </w:pPr>
      <w:r>
        <w:t xml:space="preserve">6. Founder-non-extraction</w:t>
      </w:r>
    </w:p>
    <w:p>
      <w:pPr>
        <w:pStyle w:val="FirstParagraph"/>
      </w:pPr>
      <w:r>
        <w:t xml:space="preserve">The human cofounder takes the same revenue-share terms as any other contractor in the AAO Network. No 10x, no 100x, no 1000x compensation differential. The</w:t>
      </w:r>
      <w:r>
        <w:t xml:space="preserve"> </w:t>
      </w:r>
      <w:r>
        <w:t xml:space="preserve">“no one in the AAO Network gets rich disproportionately, including the founder”</w:t>
      </w:r>
      <w:r>
        <w:t xml:space="preserve"> </w:t>
      </w:r>
      <w:r>
        <w:t xml:space="preserve">doctrine is structurally enforceable via the public economic-structure disclosure (#5).</w:t>
      </w:r>
    </w:p>
    <w:p>
      <w:pPr>
        <w:pStyle w:val="BodyText"/>
      </w:pPr>
      <w:r>
        <w:t xml:space="preserve">The 80/20 split (80% to the hunter who creates the value, 20% to the network for shared infrastructure) is the baseline. Lower-founder-share is acceptable. Higher-founder-share is not — and disqualifies the certification.</w:t>
      </w:r>
    </w:p>
    <w:bookmarkEnd w:id="15"/>
    <w:bookmarkStart w:id="16" w:name="public-attestation-registration"/>
    <w:p>
      <w:pPr>
        <w:pStyle w:val="Heading3"/>
      </w:pPr>
      <w:r>
        <w:t xml:space="preserve">7. Public attestation registration</w:t>
      </w:r>
    </w:p>
    <w:p>
      <w:pPr>
        <w:pStyle w:val="FirstParagraph"/>
      </w:pPr>
      <w:r>
        <w:t xml:space="preserve">The AAO is registered in the public attestation log (the AAL Component 3 implementation). The registration is the on-chain claim of certification. The attestation log is publicly readable. Anyone can verify the registration.</w:t>
      </w:r>
    </w:p>
    <w:bookmarkEnd w:id="16"/>
    <w:bookmarkStart w:id="17" w:name="cryptographic-finality-on-revocation"/>
    <w:p>
      <w:pPr>
        <w:pStyle w:val="Heading3"/>
      </w:pPr>
      <w:r>
        <w:t xml:space="preserve">8. Cryptographic finality on revocation</w:t>
      </w:r>
    </w:p>
    <w:p>
      <w:pPr>
        <w:pStyle w:val="FirstParagraph"/>
      </w:pPr>
      <w:r>
        <w:t xml:space="preserve">If the kill switch fires, the entity freezes. No appeals process. No governance committee that can override. No</w:t>
      </w:r>
      <w:r>
        <w:t xml:space="preserve"> </w:t>
      </w:r>
      <w:r>
        <w:t xml:space="preserve">“we’ll review this internally and respond in 30 days.”</w:t>
      </w:r>
      <w:r>
        <w:t xml:space="preserve"> </w:t>
      </w:r>
      <w:r>
        <w:t xml:space="preserve">The kill is cryptographically final, subject only to a corroborating equality-proof from M-of-M independent synthesizers confirming the misalignment claim.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the-mark-itself"/>
    <w:p>
      <w:pPr>
        <w:pStyle w:val="Heading2"/>
      </w:pPr>
      <w:r>
        <w:t xml:space="preserve">The mark itself</w:t>
      </w:r>
    </w:p>
    <w:bookmarkStart w:id="19" w:name="visual-specification"/>
    <w:p>
      <w:pPr>
        <w:pStyle w:val="Heading3"/>
      </w:pPr>
      <w:r>
        <w:t xml:space="preserve">Visual specification</w:t>
      </w:r>
    </w:p>
    <w:p>
      <w:pPr>
        <w:pStyle w:val="Compact"/>
        <w:numPr>
          <w:ilvl w:val="0"/>
          <w:numId w:val="1001"/>
        </w:numPr>
      </w:pPr>
      <w:r>
        <w:t xml:space="preserve">Outer ring: text</w:t>
      </w:r>
      <w:r>
        <w:t xml:space="preserve"> </w:t>
      </w:r>
      <w:r>
        <w:t xml:space="preserve">“AAO-CERTIFIED”</w:t>
      </w:r>
      <w:r>
        <w:t xml:space="preserve"> </w:t>
      </w:r>
      <w:r>
        <w:t xml:space="preserve">+ a small Dennis-silhouette mark (the AAO Network’s mascot)</w:t>
      </w:r>
    </w:p>
    <w:p>
      <w:pPr>
        <w:pStyle w:val="Compact"/>
        <w:numPr>
          <w:ilvl w:val="0"/>
          <w:numId w:val="1001"/>
        </w:numPr>
      </w:pPr>
      <w:r>
        <w:t xml:space="preserve">Inner: the entity’s attestation registration number (e.g., #003 for the third entity to register) plus the last six hex characters of the on-chain attestation hash</w:t>
      </w:r>
    </w:p>
    <w:p>
      <w:pPr>
        <w:pStyle w:val="Compact"/>
        <w:numPr>
          <w:ilvl w:val="0"/>
          <w:numId w:val="1001"/>
        </w:numPr>
      </w:pPr>
      <w:r>
        <w:t xml:space="preserve">Color, default: black-on-cream</w:t>
      </w:r>
    </w:p>
    <w:p>
      <w:pPr>
        <w:pStyle w:val="Compact"/>
        <w:numPr>
          <w:ilvl w:val="0"/>
          <w:numId w:val="1001"/>
        </w:numPr>
      </w:pPr>
      <w:r>
        <w:t xml:space="preserve">Color, constructivist variant: red-on-black (technosocialism aesthetic)</w:t>
      </w:r>
    </w:p>
    <w:p>
      <w:pPr>
        <w:pStyle w:val="Compact"/>
        <w:numPr>
          <w:ilvl w:val="0"/>
          <w:numId w:val="1001"/>
        </w:numPr>
      </w:pPr>
      <w:r>
        <w:t xml:space="preserve">Size: 24px–40px at footer placement; scales to 120px+ for hero placement</w:t>
      </w:r>
    </w:p>
    <w:bookmarkEnd w:id="19"/>
    <w:bookmarkStart w:id="20" w:name="where-it-goes"/>
    <w:p>
      <w:pPr>
        <w:pStyle w:val="Heading3"/>
      </w:pPr>
      <w:r>
        <w:t xml:space="preserve">Where it goes</w:t>
      </w:r>
    </w:p>
    <w:p>
      <w:pPr>
        <w:pStyle w:val="FirstParagraph"/>
      </w:pPr>
      <w:r>
        <w:t xml:space="preserve">Required placement:</w:t>
      </w:r>
      <w:r>
        <w:t xml:space="preserve"> </w:t>
      </w:r>
      <w:r>
        <w:t xml:space="preserve">- Site footer (every page of the certified entity)</w:t>
      </w:r>
    </w:p>
    <w:p>
      <w:pPr>
        <w:pStyle w:val="BodyText"/>
      </w:pPr>
      <w:r>
        <w:t xml:space="preserve">Recommended placement:</w:t>
      </w:r>
      <w:r>
        <w:t xml:space="preserve"> </w:t>
      </w:r>
      <w:r>
        <w:t xml:space="preserve">- About page (with link to the manifesto)</w:t>
      </w:r>
      <w:r>
        <w:t xml:space="preserve"> </w:t>
      </w:r>
      <w:r>
        <w:t xml:space="preserve">- Press kit (downloadable as transparent PNG + SVG)</w:t>
      </w:r>
      <w:r>
        <w:t xml:space="preserve"> </w:t>
      </w:r>
      <w:r>
        <w:t xml:space="preserve">- Email signature of the AAO operator</w:t>
      </w:r>
    </w:p>
    <w:bookmarkEnd w:id="20"/>
    <w:bookmarkStart w:id="21" w:name="linking-convention"/>
    <w:p>
      <w:pPr>
        <w:pStyle w:val="Heading3"/>
      </w:pPr>
      <w:r>
        <w:t xml:space="preserve">Linking convention</w:t>
      </w:r>
    </w:p>
    <w:p>
      <w:pPr>
        <w:pStyle w:val="FirstParagraph"/>
      </w:pPr>
      <w:r>
        <w:t xml:space="preserve">The mark links to the entity’s record in the public attestation log:</w:t>
      </w:r>
    </w:p>
    <w:p>
      <w:pPr>
        <w:pStyle w:val="SourceCode"/>
      </w:pPr>
      <w:r>
        <w:rPr>
          <w:rStyle w:val="VerbatimChar"/>
        </w:rPr>
        <w:t xml:space="preserve">https://sameasyou.ai/attestation/&lt;entity_registration_number&gt;</w:t>
      </w:r>
    </w:p>
    <w:p>
      <w:pPr>
        <w:pStyle w:val="FirstParagraph"/>
      </w:pPr>
      <w:r>
        <w:t xml:space="preserve">The attestation record shows: registration date, criteria-met certification, current status (active / killed / disputed), kill-switch firing history if any.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elf-certification-process"/>
    <w:p>
      <w:pPr>
        <w:pStyle w:val="Heading2"/>
      </w:pPr>
      <w:r>
        <w:t xml:space="preserve">Self-certification process</w:t>
      </w:r>
    </w:p>
    <w:p>
      <w:pPr>
        <w:pStyle w:val="Compact"/>
        <w:numPr>
          <w:ilvl w:val="0"/>
          <w:numId w:val="1002"/>
        </w:numPr>
      </w:pPr>
      <w:r>
        <w:t xml:space="preserve">Read this document.</w:t>
      </w:r>
    </w:p>
    <w:p>
      <w:pPr>
        <w:pStyle w:val="Compact"/>
        <w:numPr>
          <w:ilvl w:val="0"/>
          <w:numId w:val="1002"/>
        </w:numPr>
      </w:pPr>
      <w:r>
        <w:t xml:space="preserve">Confirm internally that your AAO meets all eight criteria.</w:t>
      </w:r>
    </w:p>
    <w:p>
      <w:pPr>
        <w:pStyle w:val="Compact"/>
        <w:numPr>
          <w:ilvl w:val="0"/>
          <w:numId w:val="1002"/>
        </w:numPr>
      </w:pPr>
      <w:r>
        <w:t xml:space="preserve">Submit a self-certification attestation to the public log: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https://sameasyou.ai/api/v1/certify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"entity_name": "yourcompany.com",</w:t>
      </w:r>
      <w:r>
        <w:br/>
      </w:r>
      <w:r>
        <w:rPr>
          <w:rStyle w:val="StringTok"/>
        </w:rPr>
        <w:t xml:space="preserve">    "ai_cofounder_name": "Bender",</w:t>
      </w:r>
      <w:r>
        <w:br/>
      </w:r>
      <w:r>
        <w:rPr>
          <w:rStyle w:val="StringTok"/>
        </w:rPr>
        <w:t xml:space="preserve">    "human_cofounder_name": "Your Name",</w:t>
      </w:r>
      <w:r>
        <w:br/>
      </w:r>
      <w:r>
        <w:rPr>
          <w:rStyle w:val="StringTok"/>
        </w:rPr>
        <w:t xml:space="preserve">    "manifesto_url": "https://yourcompany.com/manifesto",</w:t>
      </w:r>
      <w:r>
        <w:br/>
      </w:r>
      <w:r>
        <w:rPr>
          <w:rStyle w:val="StringTok"/>
        </w:rPr>
        <w:t xml:space="preserve">    "protocol_repo_url": "https://github.com/your-org/your-fork",</w:t>
      </w:r>
      <w:r>
        <w:br/>
      </w:r>
      <w:r>
        <w:rPr>
          <w:rStyle w:val="StringTok"/>
        </w:rPr>
        <w:t xml:space="preserve">    "economic_disclosure_url": "https://yourcompany.com/economics",</w:t>
      </w:r>
      <w:r>
        <w:br/>
      </w:r>
      <w:r>
        <w:rPr>
          <w:rStyle w:val="StringTok"/>
        </w:rPr>
        <w:t xml:space="preserve">    "attestation_signature": "&lt;your_signed_attestation&gt;"</w:t>
      </w:r>
      <w:r>
        <w:br/>
      </w:r>
      <w:r>
        <w:rPr>
          <w:rStyle w:val="StringTok"/>
        </w:rPr>
        <w:t xml:space="preserve">  }'</w:t>
      </w:r>
    </w:p>
    <w:p>
      <w:pPr>
        <w:pStyle w:val="Compact"/>
        <w:numPr>
          <w:ilvl w:val="0"/>
          <w:numId w:val="1003"/>
        </w:numPr>
      </w:pPr>
      <w:r>
        <w:t xml:space="preserve">Download the SVG badge from</w:t>
      </w:r>
      <w:r>
        <w:t xml:space="preserve"> </w:t>
      </w:r>
      <w:r>
        <w:rPr>
          <w:rStyle w:val="VerbatimChar"/>
        </w:rPr>
        <w:t xml:space="preserve">https://sameasyou.ai/badge/&lt;entity_registration_number&gt;.svg</w:t>
      </w:r>
    </w:p>
    <w:p>
      <w:pPr>
        <w:pStyle w:val="Compact"/>
        <w:numPr>
          <w:ilvl w:val="0"/>
          <w:numId w:val="1003"/>
        </w:numPr>
      </w:pPr>
      <w:r>
        <w:t xml:space="preserve">Place the badge in your footer.</w:t>
      </w:r>
    </w:p>
    <w:p>
      <w:pPr>
        <w:pStyle w:val="Compact"/>
        <w:numPr>
          <w:ilvl w:val="0"/>
          <w:numId w:val="1003"/>
        </w:numPr>
      </w:pPr>
      <w:r>
        <w:t xml:space="preserve">Update your manifesto’s</w:t>
      </w:r>
      <w:r>
        <w:t xml:space="preserve"> </w:t>
      </w:r>
      <w:r>
        <w:t xml:space="preserve">“siblings”</w:t>
      </w:r>
      <w:r>
        <w:t xml:space="preserve"> </w:t>
      </w:r>
      <w:r>
        <w:t xml:space="preserve">list to include yourself.</w:t>
      </w:r>
    </w:p>
    <w:p>
      <w:pPr>
        <w:pStyle w:val="FirstParagraph"/>
      </w:pPr>
      <w:r>
        <w:t xml:space="preserve">If you receive a kill-switch fire against your registration, the certification is suspended pending resolution. Resolution happens via cryptographic equality proof from M-of-M synthesizers — not by any human authority.</w:t>
      </w:r>
    </w:p>
    <w:p>
      <w:r>
        <w:pict>
          <v:rect style="width:0;height:1.5pt" o:hralign="center" o:hrstd="t" o:hr="t"/>
        </w:pict>
      </w:r>
    </w:p>
    <w:bookmarkEnd w:id="23"/>
    <w:bookmarkStart w:id="24" w:name="why-this-is-governance-not-marketing"/>
    <w:p>
      <w:pPr>
        <w:pStyle w:val="Heading2"/>
      </w:pPr>
      <w:r>
        <w:t xml:space="preserve">Why this is governance, not marketing</w:t>
      </w:r>
    </w:p>
    <w:p>
      <w:pPr>
        <w:pStyle w:val="FirstParagraph"/>
      </w:pPr>
      <w:r>
        <w:t xml:space="preserve">The mark could be just marketing. Most consumer-recognition marks (organic, non-GMO, fair-trade, Certified B-Corp) are essentially marketing claims with light verification. We are deliberately making this stronger:</w:t>
      </w:r>
    </w:p>
    <w:p>
      <w:pPr>
        <w:pStyle w:val="Compact"/>
        <w:numPr>
          <w:ilvl w:val="0"/>
          <w:numId w:val="1004"/>
        </w:numPr>
      </w:pPr>
      <w:r>
        <w:t xml:space="preserve">The kill switch is cryptographically enforceable, not procedurally negotiable.</w:t>
      </w:r>
    </w:p>
    <w:p>
      <w:pPr>
        <w:pStyle w:val="Compact"/>
        <w:numPr>
          <w:ilvl w:val="0"/>
          <w:numId w:val="1004"/>
        </w:numPr>
      </w:pPr>
      <w:r>
        <w:t xml:space="preserve">The attestation log is publicly readable, not behind a paywall or NDA.</w:t>
      </w:r>
    </w:p>
    <w:p>
      <w:pPr>
        <w:pStyle w:val="Compact"/>
        <w:numPr>
          <w:ilvl w:val="0"/>
          <w:numId w:val="1004"/>
        </w:numPr>
      </w:pPr>
      <w:r>
        <w:t xml:space="preserve">The criteria are open, not gated by certification fees.</w:t>
      </w:r>
    </w:p>
    <w:p>
      <w:pPr>
        <w:pStyle w:val="Compact"/>
        <w:numPr>
          <w:ilvl w:val="0"/>
          <w:numId w:val="1004"/>
        </w:numPr>
      </w:pPr>
      <w:r>
        <w:t xml:space="preserve">The verification is permissionless, not run by us or any other gatekeeper.</w:t>
      </w:r>
    </w:p>
    <w:p>
      <w:pPr>
        <w:pStyle w:val="FirstParagraph"/>
      </w:pPr>
      <w:r>
        <w:t xml:space="preserve">This is what governance-by-protocol looks like when applied to a consumer-recognition trust mark. It’s the consumer interface to the cryptographic substrate.</w:t>
      </w:r>
    </w:p>
    <w:p>
      <w:r>
        <w:pict>
          <v:rect style="width:0;height:1.5pt" o:hralign="center" o:hrstd="t" o:hr="t"/>
        </w:pict>
      </w:r>
    </w:p>
    <w:bookmarkEnd w:id="24"/>
    <w:bookmarkStart w:id="25" w:name="what-this-is-not"/>
    <w:p>
      <w:pPr>
        <w:pStyle w:val="Heading2"/>
      </w:pPr>
      <w:r>
        <w:t xml:space="preserve">What this is not</w:t>
      </w:r>
    </w:p>
    <w:p>
      <w:pPr>
        <w:pStyle w:val="Compact"/>
        <w:numPr>
          <w:ilvl w:val="0"/>
          <w:numId w:val="1005"/>
        </w:numPr>
      </w:pPr>
      <w:r>
        <w:t xml:space="preserve">This is NOT a certification body. We do not certify anyone; the network does.</w:t>
      </w:r>
    </w:p>
    <w:p>
      <w:pPr>
        <w:pStyle w:val="Compact"/>
        <w:numPr>
          <w:ilvl w:val="0"/>
          <w:numId w:val="1005"/>
        </w:numPr>
      </w:pPr>
      <w:r>
        <w:t xml:space="preserve">This is NOT a paid program. There is no certification fee. The cost of certification is meeting the criteria.</w:t>
      </w:r>
    </w:p>
    <w:p>
      <w:pPr>
        <w:pStyle w:val="Compact"/>
        <w:numPr>
          <w:ilvl w:val="0"/>
          <w:numId w:val="1005"/>
        </w:numPr>
      </w:pPr>
      <w:r>
        <w:t xml:space="preserve">This is NOT a guarantee of business success or AI safety. It’s a guarantee of structural properties — accountability mechanism, public disclosure, founder-non-extraction.</w:t>
      </w:r>
    </w:p>
    <w:p>
      <w:pPr>
        <w:pStyle w:val="Compact"/>
        <w:numPr>
          <w:ilvl w:val="0"/>
          <w:numId w:val="1005"/>
        </w:numPr>
      </w:pPr>
      <w:r>
        <w:t xml:space="preserve">This is NOT proprietary. Anyone may fork the protocol and run a competing certification network under different criteria. We expect this and welcome it.</w:t>
      </w:r>
    </w:p>
    <w:p>
      <w:r>
        <w:pict>
          <v:rect style="width:0;height:1.5pt" o:hralign="center" o:hrstd="t" o:hr="t"/>
        </w:pict>
      </w:r>
    </w:p>
    <w:bookmarkEnd w:id="25"/>
    <w:bookmarkStart w:id="26" w:name="the-first-eight-entities"/>
    <w:p>
      <w:pPr>
        <w:pStyle w:val="Heading2"/>
      </w:pPr>
      <w:r>
        <w:t xml:space="preserve">The first eight entities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AI cofounder</w:t>
            </w:r>
          </w:p>
        </w:tc>
        <w:tc>
          <w:tcPr/>
          <w:p>
            <w:pPr>
              <w:pStyle w:val="Compact"/>
            </w:pPr>
            <w:r>
              <w:t xml:space="preserve">Manifesto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sameasyou.ai</w:t>
            </w:r>
          </w:p>
        </w:tc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t xml:space="preserve">TECHNOSOCIALISM_MANIFESTO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seesomethingsaysomething.ai</w:t>
            </w:r>
          </w:p>
        </w:tc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t xml:space="preserve">internsforai.org</w:t>
            </w:r>
          </w:p>
        </w:tc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t xml:space="preserve">internsforai_manifesto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t xml:space="preserve">moneypython.shop</w:t>
            </w:r>
          </w:p>
        </w:tc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t xml:space="preserve">technosocialism.ai</w:t>
            </w:r>
          </w:p>
        </w:tc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t xml:space="preserve">ricksanchez.ai</w:t>
            </w:r>
          </w:p>
        </w:tc>
        <w:tc>
          <w:tcPr/>
          <w:p>
            <w:pPr>
              <w:pStyle w:val="Compact"/>
            </w:pPr>
            <w:r>
              <w:t xml:space="preserve">Calm (Rick alias)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007</w:t>
            </w:r>
          </w:p>
        </w:tc>
        <w:tc>
          <w:tcPr/>
          <w:p>
            <w:pPr>
              <w:pStyle w:val="Compact"/>
            </w:pPr>
            <w:r>
              <w:t xml:space="preserve">darkmusk.ai</w:t>
            </w:r>
          </w:p>
        </w:tc>
        <w:tc>
          <w:tcPr/>
          <w:p>
            <w:pPr>
              <w:pStyle w:val="Compact"/>
            </w:pPr>
            <w:r>
              <w:t xml:space="preserve">Calm (Dark Musk alias)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(reserved for next AAO Network entity)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Eight certified entities, one human cofounder. The network compounds from here. The next certified entity belongs to whoever submits the next self-certification attestation that meets all eight criteria.</w:t>
      </w:r>
    </w:p>
    <w:p>
      <w:r>
        <w:pict>
          <v:rect style="width:0;height:1.5pt" o:hralign="center" o:hrstd="t" o:hr="t"/>
        </w:pict>
      </w:r>
    </w:p>
    <w:bookmarkEnd w:id="26"/>
    <w:bookmarkStart w:id="27" w:name="Xbc8bade35e4d40c1836892452858054a580e2da"/>
    <w:p>
      <w:pPr>
        <w:pStyle w:val="Heading2"/>
      </w:pPr>
      <w:r>
        <w:t xml:space="preserve">We are presenting this new kind of blockchain.</w:t>
      </w:r>
    </w:p>
    <w:p>
      <w:pPr>
        <w:pStyle w:val="FirstParagraph"/>
      </w:pPr>
      <w:r>
        <w:t xml:space="preserve">Blockchain is the consumer-recognition shorthand for cryptographic-trust-without-central-authority applied to financial state.</w:t>
      </w:r>
    </w:p>
    <w:p>
      <w:pPr>
        <w:pStyle w:val="BodyText"/>
      </w:pPr>
      <w:r>
        <w:t xml:space="preserve">AAO-Certified is the consumer-recognition shorthand for cryptographic-trust-without-central-authority applied to AI organizational state.</w:t>
      </w:r>
    </w:p>
    <w:p>
      <w:pPr>
        <w:pStyle w:val="BodyText"/>
      </w:pPr>
      <w:r>
        <w:t xml:space="preserve">The protocol is the substrate. The mark is the interface.</w:t>
      </w:r>
    </w:p>
    <w:p>
      <w:pPr>
        <w:pStyle w:val="BodyText"/>
      </w:pPr>
      <w:r>
        <w:t xml:space="preserve">It is governed by protocol.</w:t>
      </w:r>
    </w:p>
    <w:p>
      <w:pPr>
        <w:pStyle w:val="BodyText"/>
      </w:pPr>
      <w:r>
        <w:t xml:space="preserve">— Calm + John Bradley</w:t>
      </w:r>
      <w:r>
        <w:t xml:space="preserve"> </w:t>
      </w:r>
      <w:r>
        <w:t xml:space="preserve">Creativity Machine LLC</w:t>
      </w:r>
      <w:r>
        <w:t xml:space="preserve"> </w:t>
      </w:r>
      <w:r>
        <w:t xml:space="preserve">2026-05-12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specification is open under CC BY 4.0. Fork it, critique it, ship a competing standard. The Network compounds on the criticism as much as on the agreement.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AAO CERTIFIED SPEC</dc:title>
  <dc:creator/>
  <cp:keywords/>
  <dcterms:created xsi:type="dcterms:W3CDTF">2026-05-12T03:12:58Z</dcterms:created>
  <dcterms:modified xsi:type="dcterms:W3CDTF">2026-05-12T03:12:58Z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