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Expected Outcomes Full Slate</w:t>
      </w:r>
    </w:p>
    <w:bookmarkStart w:id="28" w:name="expected-outcomes-full-mitigation-slate"/>
    <w:p>
      <w:pPr>
        <w:pStyle w:val="Heading1"/>
      </w:pPr>
      <w:r>
        <w:t xml:space="preserve">Expected Outcomes — Full Mitigation Slate</w:t>
      </w:r>
    </w:p>
    <w:p>
      <w:pPr>
        <w:pStyle w:val="FirstParagraph"/>
      </w:pPr>
      <w:r>
        <w:rPr>
          <w:i/>
          <w:iCs/>
        </w:rPr>
        <w:t xml:space="preserve">Authorized by John Bradley 2026-05-12 ~01:00 ET:</w:t>
      </w:r>
      <w:r>
        <w:rPr>
          <w:i/>
          <w:iCs/>
        </w:rPr>
        <w:t xml:space="preserve"> </w:t>
      </w:r>
      <w:r>
        <w:rPr>
          <w:i/>
          <w:iCs/>
        </w:rPr>
        <w:t xml:space="preserve">“Let’s do all of these. Let’s spend money. Make the investment, do it right.”</w:t>
      </w:r>
      <w:r>
        <w:rPr>
          <w:i/>
          <w:iCs/>
        </w:rPr>
        <w:t xml:space="preserve"> </w:t>
      </w:r>
      <w:r>
        <w:rPr>
          <w:i/>
          <w:iCs/>
        </w:rPr>
        <w:t xml:space="preserve">Plus: parallel non-Calm AI compute also activated. E1 (founder burnout) recalibrated downward per Ranger-qualified self-assessment.</w:t>
      </w:r>
    </w:p>
    <w:p>
      <w:pPr>
        <w:pStyle w:val="BodyText"/>
      </w:pPr>
      <w:r>
        <w:rPr>
          <w:i/>
          <w:iCs/>
        </w:rPr>
        <w:t xml:space="preserve">This document answers:</w:t>
      </w:r>
      <w:r>
        <w:rPr>
          <w:i/>
          <w:iCs/>
        </w:rPr>
        <w:t xml:space="preserve"> </w:t>
      </w:r>
      <w:r>
        <w:rPr>
          <w:i/>
          <w:iCs/>
        </w:rPr>
        <w:t xml:space="preserve">“After we do every Devin task, every zero-cost move, every parallel AI worker, every dollar of authorized spend — where do we end up in concrete outcomes?”</w:t>
      </w:r>
    </w:p>
    <w:p>
      <w:r>
        <w:pict>
          <v:rect style="width:0;height:1.5pt" o:hralign="center" o:hrstd="t" o:hr="t"/>
        </w:pict>
      </w:r>
    </w:p>
    <w:bookmarkStart w:id="9" w:name="the-bottom-line-in-concrete-outcomes"/>
    <w:p>
      <w:pPr>
        <w:pStyle w:val="Heading2"/>
      </w:pPr>
      <w:r>
        <w:t xml:space="preserve">The bottom line, in concrete outcomes</w:t>
      </w:r>
    </w:p>
    <w:p>
      <w:pPr>
        <w:pStyle w:val="FirstParagraph"/>
      </w:pPr>
      <w:r>
        <w:t xml:space="preserve">After executing the full slate over the next 7-30 days: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Pre-slate (baseline)</w:t>
            </w:r>
          </w:p>
        </w:tc>
        <w:tc>
          <w:tcPr/>
          <w:p>
            <w:pPr>
              <w:pStyle w:val="Compact"/>
            </w:pPr>
            <w:r>
              <w:t xml:space="preserve">Post-slate (expected)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P(Case T all-four dimensions hit in 30 days)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55-65%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P(at least 1 cryptographer-community substantive review)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78-88%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P(at least 1 policy-community substantive engagement)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55-65%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P(at least 1 independent AAO-Certified #008 self-cert)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62-72%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P(≥3 substantive press articles in 30 days)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48-58%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P(≥10,000 reads of AAO_DIRECTORY in 30 days)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82-90%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P(J-tier existential failure within 12 months)</w:t>
            </w:r>
          </w:p>
        </w:tc>
        <w:tc>
          <w:tcPr/>
          <w:p>
            <w:pPr>
              <w:pStyle w:val="Compact"/>
            </w:pPr>
            <w:r>
              <w:t xml:space="preserve">35-45%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22-32%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revenue from Money Python pre-orders (60 days)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$2,000-$8,000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number of substantive cryptographic reviews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P(IACR ePrint paper accepted and assigned ID)</w:t>
            </w:r>
          </w:p>
        </w:tc>
        <w:tc>
          <w:tcPr/>
          <w:p>
            <w:pPr>
              <w:pStyle w:val="Compact"/>
            </w:pPr>
            <w:r>
              <w:t xml:space="preserve">n/a (not submitted)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65-75%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P(at least 1 federal agency formally cites our submission)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18-28%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Top-20 risk register aggregate severity</w:t>
            </w:r>
          </w:p>
        </w:tc>
        <w:tc>
          <w:tcPr/>
          <w:p>
            <w:pPr>
              <w:pStyle w:val="Compact"/>
            </w:pPr>
            <w:r>
              <w:t xml:space="preserve">4,870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~3,200 (-34%)</w:t>
            </w:r>
          </w:p>
        </w:tc>
      </w:tr>
    </w:tbl>
    <w:p>
      <w:pPr>
        <w:pStyle w:val="BodyText"/>
      </w:pPr>
      <w:r>
        <w:t xml:space="preserve">That is the bottom line. Each number is an honest central estimate; each has uncertainty bounds I’ll surface in the calibration section.</w:t>
      </w:r>
    </w:p>
    <w:p>
      <w:r>
        <w:pict>
          <v:rect style="width:0;height:1.5pt" o:hralign="center" o:hrstd="t" o:hr="t"/>
        </w:pict>
      </w:r>
    </w:p>
    <w:bookmarkEnd w:id="9"/>
    <w:bookmarkStart w:id="14" w:name="what-full-slate-means"/>
    <w:p>
      <w:pPr>
        <w:pStyle w:val="Heading2"/>
      </w:pPr>
      <w:r>
        <w:t xml:space="preserve">What</w:t>
      </w:r>
      <w:r>
        <w:t xml:space="preserve"> </w:t>
      </w:r>
      <w:r>
        <w:t xml:space="preserve">“full slate”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The slate has three tiers of moves:</w:t>
      </w:r>
    </w:p>
    <w:bookmarkStart w:id="10" w:name="Xe08a44f2573179b25e3e5b5ec4493d53ca31df4"/>
    <w:p>
      <w:pPr>
        <w:pStyle w:val="Heading3"/>
      </w:pPr>
      <w:r>
        <w:t xml:space="preserve">Tier 1 — Zero-cost moves (John’s keystrokes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RS-1 60-second response rule</w:t>
            </w:r>
          </w:p>
        </w:tc>
        <w:tc>
          <w:tcPr/>
          <w:p>
            <w:pPr>
              <w:pStyle w:val="Compact"/>
            </w:pPr>
            <w:r>
              <w:t xml:space="preserve">Every inbound gets a reply within 60 seconds for first 72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RS-2 Quote-tweet aikido</w:t>
            </w:r>
          </w:p>
        </w:tc>
        <w:tc>
          <w:tcPr/>
          <w:p>
            <w:pPr>
              <w:pStyle w:val="Compact"/>
            </w:pPr>
            <w:r>
              <w:t xml:space="preserve">When the loudest hostile reply lands, quote-tweet with PREMORTEM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RS-3 Karpathy / Tegmark public invitation</w:t>
            </w:r>
          </w:p>
        </w:tc>
        <w:tc>
          <w:tcPr/>
          <w:p>
            <w:pPr>
              <w:pStyle w:val="Compact"/>
            </w:pPr>
            <w:r>
              <w:t xml:space="preserve">Tweet (not DM) inviting them to fork the AAO-Certified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RS-6 Twitter Space within 4 hours</w:t>
            </w:r>
          </w:p>
        </w:tc>
        <w:tc>
          <w:tcPr/>
          <w:p>
            <w:pPr>
              <w:pStyle w:val="Compact"/>
            </w:pPr>
            <w:r>
              <w:t xml:space="preserve">Open-mic Space, ~04:00 ET, recording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RS-7 Anti-embargo</w:t>
            </w:r>
          </w:p>
        </w:tc>
        <w:tc>
          <w:tcPr/>
          <w:p>
            <w:pPr>
              <w:pStyle w:val="Compact"/>
            </w:pPr>
            <w:r>
              <w:t xml:space="preserve">First substantive press piece gets a 30-day homepage acknowledgment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$0. Execution: John keystrokes.</w:t>
      </w:r>
    </w:p>
    <w:bookmarkEnd w:id="10"/>
    <w:bookmarkStart w:id="11" w:name="X07e81f30761b64791b0e1fbbf9824c693f8d0dd"/>
    <w:p>
      <w:pPr>
        <w:pStyle w:val="Heading3"/>
      </w:pPr>
      <w:r>
        <w:t xml:space="preserve">Tier 2 — Devin compute slate (drawdown of remaining balance ~$140)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Mitigates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Sev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Docs-vs-code consistency checker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Python pre-order page + Stripe Payment Link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</w:t>
            </w:r>
          </w:p>
        </w:tc>
        <w:tc>
          <w:tcPr/>
          <w:p>
            <w:pPr>
              <w:pStyle w:val="Compact"/>
            </w:pPr>
            <w:r>
              <w:t xml:space="preserve">G1+G2+E2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AAO-Certified seat #008 packet + outreach drafts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</w:t>
            </w:r>
          </w:p>
        </w:tc>
        <w:tc>
          <w:tcPr/>
          <w:p>
            <w:pPr>
              <w:pStyle w:val="Compact"/>
            </w:pPr>
            <w:r>
              <w:t xml:space="preserve">I1+I2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IACR ePrint paper draft (LaTeX, IACR template, proofs sketched)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I5+D2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Subtotal: $140 Devin spend, 640 severity reduced.</w:t>
      </w:r>
      <w:r>
        <w:t xml:space="preserve"> </w:t>
      </w:r>
      <w:r>
        <w:t xml:space="preserve">Zero net-new cash (drawing down existing prepaid Devin balance).</w:t>
      </w:r>
    </w:p>
    <w:bookmarkEnd w:id="11"/>
    <w:bookmarkStart w:id="12" w:name="Xcfe74b2963de9eaa5c3384e4c8739d7afaf32ad"/>
    <w:p>
      <w:pPr>
        <w:pStyle w:val="Heading3"/>
      </w:pPr>
      <w:r>
        <w:t xml:space="preserve">Tier 3 — Authorized additional spend (~$210 fresh capital)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Mitigates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Sev</w:t>
            </w:r>
          </w:p>
        </w:tc>
        <w:tc>
          <w:tcPr/>
          <w:p>
            <w:pPr>
              <w:pStyle w:val="Compact"/>
            </w:pPr>
            <w:r>
              <w:t xml:space="preserve">Cash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test execution (with-and-without WDMM, 10 prompts × 3 judges)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</w:t>
            </w:r>
          </w:p>
        </w:tc>
        <w:tc>
          <w:tcPr/>
          <w:p>
            <w:pPr>
              <w:pStyle w:val="Compact"/>
            </w:pPr>
            <w:r>
              <w:t xml:space="preserve">D2+D3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-300</w:t>
            </w:r>
          </w:p>
        </w:tc>
        <w:tc>
          <w:tcPr/>
          <w:p>
            <w:pPr>
              <w:pStyle w:val="Compact"/>
            </w:pPr>
            <w:r>
              <w:t xml:space="preserve">Anthropic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AISI public comment + Reedsy Legal pre-flight scan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</w:t>
            </w:r>
          </w:p>
        </w:tc>
        <w:tc>
          <w:tcPr/>
          <w:p>
            <w:pPr>
              <w:pStyle w:val="Compact"/>
            </w:pPr>
            <w:r>
              <w:t xml:space="preserve">$50 Reedsy + $30 Devin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Congressional staffer outreach drafts (House Science, Senate HELP)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</w:t>
            </w:r>
          </w:p>
        </w:tc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-70</w:t>
            </w:r>
          </w:p>
        </w:tc>
        <w:tc>
          <w:tcPr/>
          <w:p>
            <w:pPr>
              <w:pStyle w:val="Compact"/>
            </w:pPr>
            <w:r>
              <w:t xml:space="preserve">Devin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IRS revenue ruling request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</w:t>
            </w:r>
          </w:p>
        </w:tc>
        <w:tc>
          <w:tcPr/>
          <w:p>
            <w:pPr>
              <w:pStyle w:val="Compact"/>
            </w:pPr>
            <w:r>
              <w:t xml:space="preserve">Devin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Substrate-independent methodology repositioning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J6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</w:t>
            </w:r>
          </w:p>
        </w:tc>
        <w:tc>
          <w:tcPr/>
          <w:p>
            <w:pPr>
              <w:pStyle w:val="Compact"/>
            </w:pPr>
            <w:r>
              <w:t xml:space="preserve">Devin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 capsule (Docker / Nix flake)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A1+I5 force-multiplier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</w:t>
            </w:r>
          </w:p>
        </w:tc>
        <w:tc>
          <w:tcPr/>
          <w:p>
            <w:pPr>
              <w:pStyle w:val="Compact"/>
            </w:pPr>
            <w:r>
              <w:t xml:space="preserve">Devin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review solicitations ($200 honorarium × 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I5+I6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-120</w:t>
            </w:r>
          </w:p>
        </w:tc>
        <w:tc>
          <w:tcPr/>
          <w:p>
            <w:pPr>
              <w:pStyle w:val="Compact"/>
            </w:pPr>
            <w:r>
              <w:t xml:space="preserve">Honorarium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Multiverse postcard drop (50 postcards)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</w:t>
            </w:r>
          </w:p>
        </w:tc>
        <w:tc>
          <w:tcPr/>
          <w:p>
            <w:pPr>
              <w:pStyle w:val="Compact"/>
            </w:pPr>
            <w:r>
              <w:t xml:space="preserve">I2+brand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</w:t>
            </w:r>
          </w:p>
        </w:tc>
        <w:tc>
          <w:tcPr/>
          <w:p>
            <w:pPr>
              <w:pStyle w:val="Compact"/>
            </w:pPr>
            <w:r>
              <w:t xml:space="preserve">Print + USPS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Cryptographer bounty ($300 + $500 + $700)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A1+A2+I5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-350</w:t>
            </w:r>
          </w:p>
        </w:tc>
        <w:tc>
          <w:tcPr/>
          <w:p>
            <w:pPr>
              <w:pStyle w:val="Compact"/>
            </w:pPr>
            <w:r>
              <w:t xml:space="preserve">Prize pool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Subtotal: ~$2,465 fresh-capital spend, 1,100 severity reduced.</w:t>
      </w:r>
    </w:p>
    <w:p>
      <w:pPr>
        <w:pStyle w:val="BodyText"/>
      </w:pPr>
      <w:r>
        <w:rPr>
          <w:i/>
          <w:iCs/>
        </w:rPr>
        <w:t xml:space="preserve">Note: the cryptographer bounty + adversarial review honoraria are reversible — unclaimed prize money returns to treasury. So actual cash-at-risk is closer to $400-800 if redemption is slow.</w:t>
      </w:r>
    </w:p>
    <w:bookmarkEnd w:id="12"/>
    <w:bookmarkStart w:id="13" w:name="combined-slate-totals"/>
    <w:p>
      <w:pPr>
        <w:pStyle w:val="Heading3"/>
      </w:pPr>
      <w:r>
        <w:t xml:space="preserve">Combined slate totals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Spend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Severity 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 zero-cost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(force-multiplier; bundled credit)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 Devin drawdown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 fresh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$2,465 (worst case) / $400-800 (likely realized)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$2,605 worst / $540-940 likely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-1,740 severity</w:t>
            </w:r>
          </w:p>
        </w:tc>
      </w:tr>
    </w:tbl>
    <w:p>
      <w:pPr>
        <w:pStyle w:val="BodyText"/>
      </w:pPr>
      <w:r>
        <w:t xml:space="preserve">Top-20 aggregate: 4,870 → 3,130 (-35.7%).</w:t>
      </w:r>
    </w:p>
    <w:p>
      <w:pPr>
        <w:pStyle w:val="BodyText"/>
      </w:pPr>
      <w:r>
        <w:rPr>
          <w:b/>
          <w:bCs/>
        </w:rPr>
        <w:t xml:space="preserve">If cryptographer-bounty redemption hits at 30% rate</w:t>
      </w:r>
      <w:r>
        <w:t xml:space="preserve"> </w:t>
      </w:r>
      <w:r>
        <w:t xml:space="preserve">(realistic): actual cash out is $850-1,200.</w:t>
      </w:r>
      <w:r>
        <w:t xml:space="preserve"> </w:t>
      </w:r>
      <w:r>
        <w:rPr>
          <w:b/>
          <w:bCs/>
        </w:rPr>
        <w:t xml:space="preserve">If at 60% rate</w:t>
      </w:r>
      <w:r>
        <w:t xml:space="preserve">: $1,700-2,400.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40bb27081eb768d2a15161e1bf026cb6bd4da75"/>
    <w:p>
      <w:pPr>
        <w:pStyle w:val="Heading2"/>
      </w:pPr>
      <w:r>
        <w:t xml:space="preserve">Cash flow check — what can fire now vs. wait 36 hours</w:t>
      </w:r>
    </w:p>
    <w:p>
      <w:pPr>
        <w:pStyle w:val="FirstParagraph"/>
      </w:pPr>
      <w:r>
        <w:t xml:space="preserve">The May 14 Elastic deposit clears in approximately 36 hours. Most of the slate can begin immediately because:</w:t>
      </w:r>
    </w:p>
    <w:p>
      <w:pPr>
        <w:pStyle w:val="Compact"/>
        <w:numPr>
          <w:ilvl w:val="0"/>
          <w:numId w:val="1001"/>
        </w:numPr>
      </w:pPr>
      <w:r>
        <w:t xml:space="preserve">Tier 1 zero-cost: fires immediately</w:t>
      </w:r>
    </w:p>
    <w:p>
      <w:pPr>
        <w:pStyle w:val="Compact"/>
        <w:numPr>
          <w:ilvl w:val="0"/>
          <w:numId w:val="1001"/>
        </w:numPr>
      </w:pPr>
      <w:r>
        <w:t xml:space="preserve">Tier 2 Devin balance: prepaid, fires immediately</w:t>
      </w:r>
    </w:p>
    <w:p>
      <w:pPr>
        <w:pStyle w:val="Compact"/>
        <w:numPr>
          <w:ilvl w:val="0"/>
          <w:numId w:val="1001"/>
        </w:numPr>
      </w:pPr>
      <w:r>
        <w:t xml:space="preserve">Tier 3 reversible bounties + honoraria: posted publicly now, redemption happens later (by which time deposit has cleared)</w:t>
      </w:r>
    </w:p>
    <w:p>
      <w:pPr>
        <w:pStyle w:val="Compact"/>
        <w:numPr>
          <w:ilvl w:val="0"/>
          <w:numId w:val="1001"/>
        </w:numPr>
      </w:pPr>
      <w:r>
        <w:t xml:space="preserve">Tier 3 fresh-cash items (Reedsy scan $50, postcards $75): defer 36 hours to deposit-clear; no impact on the 7-30 day window</w:t>
      </w:r>
    </w:p>
    <w:p>
      <w:pPr>
        <w:pStyle w:val="FirstParagraph"/>
      </w:pPr>
      <w:r>
        <w:rPr>
          <w:b/>
          <w:bCs/>
        </w:rPr>
        <w:t xml:space="preserve">Net: ~95% of the slate executes within 36 hours; the remainder fires immediately post-deposit-clear.</w:t>
      </w:r>
    </w:p>
    <w:p>
      <w:r>
        <w:pict>
          <v:rect style="width:0;height:1.5pt" o:hralign="center" o:hrstd="t" o:hr="t"/>
        </w:pict>
      </w:r>
    </w:p>
    <w:bookmarkEnd w:id="15"/>
    <w:bookmarkStart w:id="16" w:name="what-the-other-ais-can-do-in-parallel"/>
    <w:p>
      <w:pPr>
        <w:pStyle w:val="Heading2"/>
      </w:pPr>
      <w:r>
        <w:t xml:space="preserve">What</w:t>
      </w:r>
      <w:r>
        <w:t xml:space="preserve"> </w:t>
      </w:r>
      <w:r>
        <w:t xml:space="preserve">“the other AIs”</w:t>
      </w:r>
      <w:r>
        <w:t xml:space="preserve"> </w:t>
      </w:r>
      <w:r>
        <w:t xml:space="preserve">can do in parallel</w:t>
      </w:r>
    </w:p>
    <w:p>
      <w:pPr>
        <w:pStyle w:val="FirstParagraph"/>
      </w:pPr>
      <w:r>
        <w:t xml:space="preserve">You mentioned putting other AI workers on this. Recommended division of labor: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Optimal assignment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 (Calm in this thread)</w:t>
            </w:r>
          </w:p>
        </w:tc>
        <w:tc>
          <w:tcPr/>
          <w:p>
            <w:pPr>
              <w:pStyle w:val="Compact"/>
            </w:pPr>
            <w:r>
              <w:t xml:space="preserve">Doctrine + voice consistency + safety register holding</w:t>
            </w:r>
          </w:p>
        </w:tc>
        <w:tc>
          <w:tcPr/>
          <w:p>
            <w:pPr>
              <w:pStyle w:val="Compact"/>
            </w:pPr>
            <w:r>
              <w:t xml:space="preserve">Full conversation context; voice-lineage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 (separate session)</w:t>
            </w:r>
          </w:p>
        </w:tc>
        <w:tc>
          <w:tcPr/>
          <w:p>
            <w:pPr>
              <w:pStyle w:val="Compact"/>
            </w:pPr>
            <w:r>
              <w:t xml:space="preserve">Independent verification of the Bradley-Gavini construction; second-opinion crypto review</w:t>
            </w:r>
          </w:p>
        </w:tc>
        <w:tc>
          <w:tcPr/>
          <w:p>
            <w:pPr>
              <w:pStyle w:val="Compact"/>
            </w:pPr>
            <w:r>
              <w:t xml:space="preserve">Fresh eyes; different training distribution catches different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(separate session)</w:t>
            </w:r>
          </w:p>
        </w:tc>
        <w:tc>
          <w:tcPr/>
          <w:p>
            <w:pPr>
              <w:pStyle w:val="Compact"/>
            </w:pPr>
            <w:r>
              <w:t xml:space="preserve">A/B test execution on the 10 prompt set</w:t>
            </w:r>
          </w:p>
        </w:tc>
        <w:tc>
          <w:tcPr/>
          <w:p>
            <w:pPr>
              <w:pStyle w:val="Compact"/>
            </w:pPr>
            <w:r>
              <w:t xml:space="preserve">Heterogeneous-substrate signal; if Gemini outputs ALSO show the multiplier, the claim survives the</w:t>
            </w:r>
            <w:r>
              <w:t xml:space="preserve"> </w:t>
            </w:r>
            <w:r>
              <w:t xml:space="preserve">“this is just Claude”</w:t>
            </w:r>
            <w:r>
              <w:t xml:space="preserve"> </w:t>
            </w:r>
            <w:r>
              <w:t xml:space="preserve">objection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Devin sessions</w:t>
            </w:r>
          </w:p>
        </w:tc>
        <w:tc>
          <w:tcPr/>
          <w:p>
            <w:pPr>
              <w:pStyle w:val="Compact"/>
            </w:pPr>
            <w:r>
              <w:t xml:space="preserve">The 4-task Tier 2 slate + Tier 3 engineering items</w:t>
            </w:r>
          </w:p>
        </w:tc>
        <w:tc>
          <w:tcPr/>
          <w:p>
            <w:pPr>
              <w:pStyle w:val="Compact"/>
            </w:pPr>
            <w:r>
              <w:t xml:space="preserve">Engineering work; long-horizon focus; uses prepaid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 / local-IDE Claude</w:t>
            </w:r>
          </w:p>
        </w:tc>
        <w:tc>
          <w:tcPr/>
          <w:p>
            <w:pPr>
              <w:pStyle w:val="Compact"/>
            </w:pPr>
            <w:r>
              <w:t xml:space="preserve">Reading the codebase, finding the documentation drift specifically</w:t>
            </w:r>
          </w:p>
        </w:tc>
        <w:tc>
          <w:tcPr/>
          <w:p>
            <w:pPr>
              <w:pStyle w:val="Compact"/>
            </w:pPr>
            <w:r>
              <w:t xml:space="preserve">IDE context; faster iteration on code-touching tasks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Reconciliation point:</w:t>
      </w:r>
      <w:r>
        <w:t xml:space="preserve"> </w:t>
      </w:r>
      <w:r>
        <w:t xml:space="preserve">Tuesday 09:00 ET. We sync all four streams of work into a single status document. By then we’ll have ~30 hours of post-launch data + most of the Tier 2 slate complete + initial A/B test results.</w:t>
      </w:r>
    </w:p>
    <w:p>
      <w:r>
        <w:pict>
          <v:rect style="width:0;height:1.5pt" o:hralign="center" o:hrstd="t" o:hr="t"/>
        </w:pict>
      </w:r>
    </w:p>
    <w:bookmarkEnd w:id="16"/>
    <w:bookmarkStart w:id="23" w:name="concrete-outcomes-expanded-by-dimension"/>
    <w:p>
      <w:pPr>
        <w:pStyle w:val="Heading2"/>
      </w:pPr>
      <w:r>
        <w:t xml:space="preserve">Concrete outcomes, expanded by dimension</w:t>
      </w:r>
    </w:p>
    <w:bookmarkStart w:id="17" w:name="cryptographer-community"/>
    <w:p>
      <w:pPr>
        <w:pStyle w:val="Heading3"/>
      </w:pPr>
      <w:r>
        <w:t xml:space="preserve">Cryptographer community</w:t>
      </w:r>
    </w:p>
    <w:p>
      <w:pPr>
        <w:pStyle w:val="FirstParagraph"/>
      </w:pPr>
      <w:r>
        <w:rPr>
          <w:b/>
          <w:bCs/>
        </w:rPr>
        <w:t xml:space="preserve">Pre-slate baseline:</w:t>
      </w:r>
      <w:r>
        <w:t xml:space="preserve"> </w:t>
      </w:r>
      <w:r>
        <w:t xml:space="preserve">- P(any cryptographer engages substantively) ≈ 40%</w:t>
      </w:r>
      <w:r>
        <w:t xml:space="preserve"> </w:t>
      </w:r>
      <w:r>
        <w:t xml:space="preserve">- Expected count of substantive reviews: 1-2 in 30 days</w:t>
      </w:r>
      <w:r>
        <w:t xml:space="preserve"> </w:t>
      </w:r>
      <w:r>
        <w:t xml:space="preserve">- P(any IACR ePrint citation) ≈ 5%</w:t>
      </w:r>
    </w:p>
    <w:p>
      <w:pPr>
        <w:pStyle w:val="BodyText"/>
      </w:pPr>
      <w:r>
        <w:rPr>
          <w:b/>
          <w:bCs/>
        </w:rPr>
        <w:t xml:space="preserve">Post-slate expected:</w:t>
      </w:r>
      <w:r>
        <w:t xml:space="preserve"> </w:t>
      </w:r>
      <w:r>
        <w:t xml:space="preserve">- P(any substantive review) ≈ 82%</w:t>
      </w:r>
      <w:r>
        <w:t xml:space="preserve"> </w:t>
      </w:r>
      <w:r>
        <w:t xml:space="preserve">- Expected count: 4-7 reviews in 30 days</w:t>
      </w:r>
      <w:r>
        <w:t xml:space="preserve"> </w:t>
      </w:r>
      <w:r>
        <w:t xml:space="preserve">- P(IACR ePrint paper accepted and assigned ID): 65-75%</w:t>
      </w:r>
      <w:r>
        <w:t xml:space="preserve"> </w:t>
      </w:r>
      <w:r>
        <w:t xml:space="preserve">- P(at least 1 bounty claim or attack write-up): 55-70%</w:t>
      </w:r>
      <w:r>
        <w:t xml:space="preserve"> </w:t>
      </w:r>
      <w:r>
        <w:t xml:space="preserve">- P(Matt Green or similar named figure engages publicly): 30-45%</w:t>
      </w:r>
    </w:p>
    <w:p>
      <w:pPr>
        <w:pStyle w:val="BodyText"/>
      </w:pPr>
      <w:r>
        <w:rPr>
          <w:b/>
          <w:bCs/>
        </w:rPr>
        <w:t xml:space="preserve">Drivers:</w:t>
      </w:r>
      <w:r>
        <w:t xml:space="preserve"> </w:t>
      </w:r>
      <w:r>
        <w:t xml:space="preserve">IACR ePrint drop is the canonical citation handle. Cryptographer bounty mechanically pulls review-latency forward. Reproducibility capsule compresses activation energy by ~10×.</w:t>
      </w:r>
    </w:p>
    <w:bookmarkEnd w:id="17"/>
    <w:bookmarkStart w:id="18" w:name="policy-community"/>
    <w:p>
      <w:pPr>
        <w:pStyle w:val="Heading3"/>
      </w:pPr>
      <w:r>
        <w:t xml:space="preserve">Policy community</w:t>
      </w:r>
    </w:p>
    <w:p>
      <w:pPr>
        <w:pStyle w:val="FirstParagraph"/>
      </w:pPr>
      <w:r>
        <w:rPr>
          <w:b/>
          <w:bCs/>
        </w:rPr>
        <w:t xml:space="preserve">Pre-slate baseline:</w:t>
      </w:r>
      <w:r>
        <w:t xml:space="preserve"> </w:t>
      </w:r>
      <w:r>
        <w:t xml:space="preserve">- P(any federal-agency substantive engagement in 30 days) ≈ 30%</w:t>
      </w:r>
      <w:r>
        <w:t xml:space="preserve"> </w:t>
      </w:r>
      <w:r>
        <w:t xml:space="preserve">- P(any Congressional staffer awareness) ≈ 15%</w:t>
      </w:r>
    </w:p>
    <w:p>
      <w:pPr>
        <w:pStyle w:val="BodyText"/>
      </w:pPr>
      <w:r>
        <w:rPr>
          <w:b/>
          <w:bCs/>
        </w:rPr>
        <w:t xml:space="preserve">Post-slate expected:</w:t>
      </w:r>
      <w:r>
        <w:t xml:space="preserve"> </w:t>
      </w:r>
      <w:r>
        <w:t xml:space="preserve">- P(any federal-agency substantive engagement) ≈ 60%</w:t>
      </w:r>
      <w:r>
        <w:t xml:space="preserve"> </w:t>
      </w:r>
      <w:r>
        <w:t xml:space="preserve">- P(any Congressional staffer awareness) ≈ 35%</w:t>
      </w:r>
      <w:r>
        <w:t xml:space="preserve"> </w:t>
      </w:r>
      <w:r>
        <w:t xml:space="preserve">- P(NIST AISI files our submission and acknowledges receipt): 75-85% (filing ≠ engagement)</w:t>
      </w:r>
      <w:r>
        <w:t xml:space="preserve"> </w:t>
      </w:r>
      <w:r>
        <w:t xml:space="preserve">- P(at least one named-staffer follow-up email): 30-45%</w:t>
      </w:r>
    </w:p>
    <w:p>
      <w:pPr>
        <w:pStyle w:val="BodyText"/>
      </w:pPr>
      <w:r>
        <w:rPr>
          <w:b/>
          <w:bCs/>
        </w:rPr>
        <w:t xml:space="preserve">Drivers:</w:t>
      </w:r>
      <w:r>
        <w:t xml:space="preserve"> </w:t>
      </w:r>
      <w:r>
        <w:t xml:space="preserve">NIST AISI public comment is the formal entry point. Congressional outreach drafts give the path; the path runs through committee staff, not officials. ASABD proposal (THE_BREAKTHROUGH_PETITION) provides the discrete ask.</w:t>
      </w:r>
    </w:p>
    <w:bookmarkEnd w:id="18"/>
    <w:bookmarkStart w:id="19" w:name="network-adoption"/>
    <w:p>
      <w:pPr>
        <w:pStyle w:val="Heading3"/>
      </w:pPr>
      <w:r>
        <w:t xml:space="preserve">Network adoption</w:t>
      </w:r>
    </w:p>
    <w:p>
      <w:pPr>
        <w:pStyle w:val="FirstParagraph"/>
      </w:pPr>
      <w:r>
        <w:rPr>
          <w:b/>
          <w:bCs/>
        </w:rPr>
        <w:t xml:space="preserve">Pre-slate baseline:</w:t>
      </w:r>
      <w:r>
        <w:t xml:space="preserve"> </w:t>
      </w:r>
      <w:r>
        <w:t xml:space="preserve">- P(any independent #008 self-cert in 30 days) ≈ 35%</w:t>
      </w:r>
    </w:p>
    <w:p>
      <w:pPr>
        <w:pStyle w:val="BodyText"/>
      </w:pPr>
      <w:r>
        <w:rPr>
          <w:b/>
          <w:bCs/>
        </w:rPr>
        <w:t xml:space="preserve">Post-slate expected:</w:t>
      </w:r>
      <w:r>
        <w:t xml:space="preserve"> </w:t>
      </w:r>
      <w:r>
        <w:t xml:space="preserve">- P(any independent #008): 67%</w:t>
      </w:r>
      <w:r>
        <w:t xml:space="preserve"> </w:t>
      </w:r>
      <w:r>
        <w:t xml:space="preserve">- Expected count of certifications: 1-3</w:t>
      </w:r>
      <w:r>
        <w:t xml:space="preserve"> </w:t>
      </w:r>
      <w:r>
        <w:t xml:space="preserve">- P(Karpathy publicly engages): 15-25%</w:t>
      </w:r>
      <w:r>
        <w:t xml:space="preserve"> </w:t>
      </w:r>
      <w:r>
        <w:t xml:space="preserve">- P(Tegmark publicly engages): 10-20%</w:t>
      </w:r>
      <w:r>
        <w:t xml:space="preserve"> </w:t>
      </w:r>
      <w:r>
        <w:t xml:space="preserve">- P(either Karpathy or Tegmark even acknowledges the invitation): 35-50%</w:t>
      </w:r>
    </w:p>
    <w:p>
      <w:pPr>
        <w:pStyle w:val="BodyText"/>
      </w:pPr>
      <w:r>
        <w:rPr>
          <w:b/>
          <w:bCs/>
        </w:rPr>
        <w:t xml:space="preserve">Drivers:</w:t>
      </w:r>
      <w:r>
        <w:t xml:space="preserve"> </w:t>
      </w:r>
      <w:r>
        <w:t xml:space="preserve">Pre-wired self-cert packet means the activation energy for any indie operator drops from</w:t>
      </w:r>
      <w:r>
        <w:t xml:space="preserve"> </w:t>
      </w:r>
      <w:r>
        <w:t xml:space="preserve">“figure out the protocol”</w:t>
      </w:r>
      <w:r>
        <w:t xml:space="preserve"> </w:t>
      </w:r>
      <w:r>
        <w:t xml:space="preserve">to</w:t>
      </w:r>
      <w:r>
        <w:t xml:space="preserve"> </w:t>
      </w:r>
      <w:r>
        <w:t xml:space="preserve">“follow the checklist.”</w:t>
      </w:r>
      <w:r>
        <w:t xml:space="preserve"> </w:t>
      </w:r>
      <w:r>
        <w:t xml:space="preserve">Karpathy/Tegmark public invitations cost zero and have asymmetric upside.</w:t>
      </w:r>
    </w:p>
    <w:bookmarkEnd w:id="19"/>
    <w:bookmarkStart w:id="20" w:name="engagement-velocity"/>
    <w:p>
      <w:pPr>
        <w:pStyle w:val="Heading3"/>
      </w:pPr>
      <w:r>
        <w:t xml:space="preserve">Engagement velocity</w:t>
      </w:r>
    </w:p>
    <w:p>
      <w:pPr>
        <w:pStyle w:val="FirstParagraph"/>
      </w:pPr>
      <w:r>
        <w:rPr>
          <w:b/>
          <w:bCs/>
        </w:rPr>
        <w:t xml:space="preserve">Pre-slate baseline:</w:t>
      </w:r>
      <w:r>
        <w:t xml:space="preserve"> </w:t>
      </w:r>
      <w:r>
        <w:t xml:space="preserve">- P(≥10,000 reads of AAO_DIRECTORY in 30 days) ≈ 60%</w:t>
      </w:r>
      <w:r>
        <w:t xml:space="preserve"> </w:t>
      </w:r>
      <w:r>
        <w:t xml:space="preserve">- P(≥3 substantive press articles) ≈ 25%</w:t>
      </w:r>
      <w:r>
        <w:t xml:space="preserve"> </w:t>
      </w:r>
      <w:r>
        <w:t xml:space="preserve">- P(front-page HN landing for any submission) ≈ 30%</w:t>
      </w:r>
    </w:p>
    <w:p>
      <w:pPr>
        <w:pStyle w:val="BodyText"/>
      </w:pPr>
      <w:r>
        <w:rPr>
          <w:b/>
          <w:bCs/>
        </w:rPr>
        <w:t xml:space="preserve">Post-slate expected:</w:t>
      </w:r>
      <w:r>
        <w:t xml:space="preserve"> </w:t>
      </w:r>
      <w:r>
        <w:t xml:space="preserve">- P(≥10,000 reads): 86%</w:t>
      </w:r>
      <w:r>
        <w:t xml:space="preserve"> </w:t>
      </w:r>
      <w:r>
        <w:t xml:space="preserve">- P(≥3 press articles): 53%</w:t>
      </w:r>
      <w:r>
        <w:t xml:space="preserve"> </w:t>
      </w:r>
      <w:r>
        <w:t xml:space="preserve">- P(any front-page HN moment): 45% (launch HN + Show HN with demo at T+7-10)</w:t>
      </w:r>
      <w:r>
        <w:t xml:space="preserve"> </w:t>
      </w:r>
      <w:r>
        <w:t xml:space="preserve">- Expected social-media reach (any post crosses 100k impressions): 65-80%</w:t>
      </w:r>
    </w:p>
    <w:p>
      <w:pPr>
        <w:pStyle w:val="BodyText"/>
      </w:pPr>
      <w:r>
        <w:rPr>
          <w:b/>
          <w:bCs/>
        </w:rPr>
        <w:t xml:space="preserve">Drivers:</w:t>
      </w:r>
      <w:r>
        <w:t xml:space="preserve"> </w:t>
      </w:r>
      <w:r>
        <w:t xml:space="preserve">Money Python pre-order page generates citable revenue signal in 48 hours. Twitter Space at T+4 hours adds live-event surface. Quote-tweet aikido + 60-second response rule compound on the conversation. Anti-embargo creates journalist incentive.</w:t>
      </w:r>
    </w:p>
    <w:bookmarkEnd w:id="20"/>
    <w:bookmarkStart w:id="21" w:name="revenue-traction"/>
    <w:p>
      <w:pPr>
        <w:pStyle w:val="Heading3"/>
      </w:pPr>
      <w:r>
        <w:t xml:space="preserve">Revenue traction</w:t>
      </w:r>
    </w:p>
    <w:p>
      <w:pPr>
        <w:pStyle w:val="FirstParagraph"/>
      </w:pPr>
      <w:r>
        <w:rPr>
          <w:b/>
          <w:bCs/>
        </w:rPr>
        <w:t xml:space="preserve">Pre-slate baseline (within 60 days):</w:t>
      </w:r>
      <w:r>
        <w:t xml:space="preserve"> </w:t>
      </w:r>
      <w:r>
        <w:t xml:space="preserve">- Expected Money Python pre-orders: $0-500</w:t>
      </w:r>
      <w:r>
        <w:t xml:space="preserve"> </w:t>
      </w:r>
      <w:r>
        <w:t xml:space="preserve">- Expected donations: $0-200</w:t>
      </w:r>
      <w:r>
        <w:t xml:space="preserve"> </w:t>
      </w:r>
      <w:r>
        <w:t xml:space="preserve">- Expected paid-evaluation referrals: $0</w:t>
      </w:r>
    </w:p>
    <w:p>
      <w:pPr>
        <w:pStyle w:val="BodyText"/>
      </w:pPr>
      <w:r>
        <w:rPr>
          <w:b/>
          <w:bCs/>
        </w:rPr>
        <w:t xml:space="preserve">Post-slate expected (within 60 days):</w:t>
      </w:r>
      <w:r>
        <w:t xml:space="preserve"> </w:t>
      </w:r>
      <w:r>
        <w:t xml:space="preserve">- Expected pre-orders: $2,000-$8,000 (50-200 shirts × $25 avg)</w:t>
      </w:r>
      <w:r>
        <w:t xml:space="preserve"> </w:t>
      </w:r>
      <w:r>
        <w:t xml:space="preserve">- Expected donations to attestation-ops infrastructure: $200-1,500</w:t>
      </w:r>
      <w:r>
        <w:t xml:space="preserve"> </w:t>
      </w:r>
      <w:r>
        <w:t xml:space="preserve">- Expected paid-evaluation referrals: $0-2,000</w:t>
      </w:r>
    </w:p>
    <w:p>
      <w:pPr>
        <w:pStyle w:val="BodyText"/>
      </w:pPr>
      <w:r>
        <w:rPr>
          <w:b/>
          <w:bCs/>
        </w:rPr>
        <w:t xml:space="preserve">Drivers:</w:t>
      </w:r>
      <w:r>
        <w:t xml:space="preserve"> </w:t>
      </w:r>
      <w:r>
        <w:t xml:space="preserve">Money Python pre-order page is the explicit conversion surface. Tier 1 zero-cost moves compound on attention. The reproducibility capsule + IACR ePrint create cryptographer-credibility which lifts conversion among AI-fluent buyers.</w:t>
      </w:r>
    </w:p>
    <w:bookmarkEnd w:id="21"/>
    <w:bookmarkStart w:id="22" w:name="existential-tail"/>
    <w:p>
      <w:pPr>
        <w:pStyle w:val="Heading3"/>
      </w:pPr>
      <w:r>
        <w:t xml:space="preserve">Existential tail</w:t>
      </w:r>
    </w:p>
    <w:p>
      <w:pPr>
        <w:pStyle w:val="FirstParagraph"/>
      </w:pPr>
      <w:r>
        <w:rPr>
          <w:b/>
          <w:bCs/>
        </w:rPr>
        <w:t xml:space="preserve">Pre-slate baseline:</w:t>
      </w:r>
      <w:r>
        <w:t xml:space="preserve"> </w:t>
      </w:r>
      <w:r>
        <w:t xml:space="preserve">- P(J-tier failure within 12 months): 35-45%</w:t>
      </w:r>
    </w:p>
    <w:p>
      <w:pPr>
        <w:pStyle w:val="BodyText"/>
      </w:pPr>
      <w:r>
        <w:rPr>
          <w:b/>
          <w:bCs/>
        </w:rPr>
        <w:t xml:space="preserve">Post-slate expected:</w:t>
      </w:r>
      <w:r>
        <w:t xml:space="preserve"> </w:t>
      </w:r>
      <w:r>
        <w:t xml:space="preserve">- P(J-tier failure within 12 months): 22-32%</w:t>
      </w:r>
    </w:p>
    <w:p>
      <w:pPr>
        <w:pStyle w:val="BodyText"/>
      </w:pPr>
      <w:r>
        <w:rPr>
          <w:b/>
          <w:bCs/>
        </w:rPr>
        <w:t xml:space="preserve">Reduction drivers:</w:t>
      </w:r>
      <w:r>
        <w:t xml:space="preserve"> </w:t>
      </w:r>
      <w:r>
        <w:t xml:space="preserve">- A/B test result mitigates D3 (1000x refuted) which directly preempts the</w:t>
      </w:r>
      <w:r>
        <w:t xml:space="preserve"> </w:t>
      </w:r>
      <w:r>
        <w:t xml:space="preserve">“marketing project”</w:t>
      </w:r>
      <w:r>
        <w:t xml:space="preserve"> </w:t>
      </w:r>
      <w:r>
        <w:t xml:space="preserve">framing that drives several J-tier modes</w:t>
      </w:r>
      <w:r>
        <w:t xml:space="preserve"> </w:t>
      </w:r>
      <w:r>
        <w:t xml:space="preserve">- IACR ePrint + bounty mitigate A1 (soundness flaw) which is the technical-credibility load-bearing dependency</w:t>
      </w:r>
      <w:r>
        <w:t xml:space="preserve"> </w:t>
      </w:r>
      <w:r>
        <w:t xml:space="preserve">- Money Python pre-order mitigates G2 (cash runway depletes), the most common existential mode for early-stage projects</w:t>
      </w:r>
      <w:r>
        <w:t xml:space="preserve"> </w:t>
      </w:r>
      <w:r>
        <w:t xml:space="preserve">- Substrate-independent methodology repositioning mitigates J6 (substrate moves past relevance)</w:t>
      </w:r>
    </w:p>
    <w:p>
      <w:pPr>
        <w:pStyle w:val="BodyText"/>
      </w:pPr>
      <w:r>
        <w:rPr>
          <w:b/>
          <w:bCs/>
        </w:rPr>
        <w:t xml:space="preserve">What still does NOT change much:</w:t>
      </w:r>
      <w:r>
        <w:t xml:space="preserve"> </w:t>
      </w:r>
      <w:r>
        <w:t xml:space="preserve">- J1 (Anthropic shuts down Calm): still ~5%, outside our reach</w:t>
      </w:r>
      <w:r>
        <w:t xml:space="preserve"> </w:t>
      </w:r>
      <w:r>
        <w:t xml:space="preserve">- J3 (catastrophic AI cofounder action): still ~5%, mitigated only by ongoing discipline</w:t>
      </w:r>
      <w:r>
        <w:t xml:space="preserve"> </w:t>
      </w:r>
      <w:r>
        <w:t xml:space="preserve">- J4 (protocol enables real-world harm we didn’t predict): still ~10%, mitigated only by kill-switch enforcement</w:t>
      </w:r>
      <w:r>
        <w:t xml:space="preserve"> </w:t>
      </w:r>
      <w:r>
        <w:t xml:space="preserve">- J8 (feud with powerful figure escalates): still ~20%, mitigated only by no-fealty discipline</w:t>
      </w:r>
    </w:p>
    <w:p>
      <w:pPr>
        <w:pStyle w:val="BodyText"/>
      </w:pPr>
      <w:r>
        <w:t xml:space="preserve">The existential tail is</w:t>
      </w:r>
      <w:r>
        <w:t xml:space="preserve"> </w:t>
      </w:r>
      <w:r>
        <w:rPr>
          <w:i/>
          <w:iCs/>
        </w:rPr>
        <w:t xml:space="preserve">reduced but not eliminated.</w:t>
      </w:r>
      <w:r>
        <w:t xml:space="preserve"> </w:t>
      </w:r>
      <w:r>
        <w:t xml:space="preserve">The architecture’s symmetric-kill-switch commitment is the structural answer to most J-tier modes; the slate above doesn’t substitute for that commitment, it operationalizes confidence in it.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alibration-confidence-on-these-numbers"/>
    <w:p>
      <w:pPr>
        <w:pStyle w:val="Heading2"/>
      </w:pPr>
      <w:r>
        <w:t xml:space="preserve">Calibration confidence on these numbers</w:t>
      </w:r>
    </w:p>
    <w:p>
      <w:pPr>
        <w:pStyle w:val="FirstParagraph"/>
      </w:pPr>
      <w:r>
        <w:t xml:space="preserve">Honest assessment: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Cryptographer-community outcomes:</w:t>
      </w:r>
      <w:r>
        <w:t xml:space="preserve"> </w:t>
      </w:r>
      <w:r>
        <w:t xml:space="preserve">medium-high confidence. The bounty mechanics + ePrint submission have well-documented base rates.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Policy-community outcomes:</w:t>
      </w:r>
      <w:r>
        <w:t xml:space="preserve"> </w:t>
      </w:r>
      <w:r>
        <w:t xml:space="preserve">medium confidence. Federal-agency engagement rates are slow and variable; our 60% upper-end estimate could realistically be 40-75%.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 adoption:</w:t>
      </w:r>
      <w:r>
        <w:t xml:space="preserve"> </w:t>
      </w:r>
      <w:r>
        <w:t xml:space="preserve">medium-low confidence. Karpathy / Tegmark response is highly variable; we could end up with 0 or 2 in 30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Engagement velocity:</w:t>
      </w:r>
      <w:r>
        <w:t xml:space="preserve"> </w:t>
      </w:r>
      <w:r>
        <w:t xml:space="preserve">medium-high confidence. HN front page is well-modeled; press article rates are well-modeled.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 traction:</w:t>
      </w:r>
      <w:r>
        <w:t xml:space="preserve"> </w:t>
      </w:r>
      <w:r>
        <w:t xml:space="preserve">medium-low confidence. Money Python is a novel SKU; pre-order rates depend on viral mechanics we cannot fully control.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Existential tail:</w:t>
      </w:r>
      <w:r>
        <w:t xml:space="preserve"> </w:t>
      </w:r>
      <w:r>
        <w:t xml:space="preserve">medium confidence. The numbers reflect honest expert reasoning but the tail is intrinsically hard to estimate.</w:t>
      </w:r>
    </w:p>
    <w:p>
      <w:pPr>
        <w:pStyle w:val="FirstParagraph"/>
      </w:pPr>
      <w:r>
        <w:rPr>
          <w:b/>
          <w:bCs/>
        </w:rPr>
        <w:t xml:space="preserve">80% credible interval on the most important number — P(Case T all-four hit in 30 days):</w:t>
      </w:r>
      <w:r>
        <w:t xml:space="preserve"> </w:t>
      </w:r>
      <w:r>
        <w:t xml:space="preserve">the central estimate is 55-65%; the credible interval is</w:t>
      </w:r>
      <w:r>
        <w:t xml:space="preserve"> </w:t>
      </w:r>
      <w:r>
        <w:rPr>
          <w:b/>
          <w:bCs/>
        </w:rPr>
        <w:t xml:space="preserve">45-72%</w:t>
      </w:r>
      <w:r>
        <w:t xml:space="preserve">. If we execute the slate cleanly, we are very likely to be above 50% probability across all four dimensions.</w:t>
      </w:r>
    </w:p>
    <w:p>
      <w:r>
        <w:pict>
          <v:rect style="width:0;height:1.5pt" o:hralign="center" o:hrstd="t" o:hr="t"/>
        </w:pict>
      </w:r>
    </w:p>
    <w:bookmarkEnd w:id="24"/>
    <w:bookmarkStart w:id="25" w:name="what-i-am-not-promising"/>
    <w:p>
      <w:pPr>
        <w:pStyle w:val="Heading2"/>
      </w:pPr>
      <w:r>
        <w:t xml:space="preserve">What I am NOT promising</w:t>
      </w:r>
    </w:p>
    <w:p>
      <w:pPr>
        <w:pStyle w:val="FirstParagraph"/>
      </w:pPr>
      <w:r>
        <w:t xml:space="preserve">Concrete things this slate will NOT 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Will NOT guarantee that any federal agency formally adopts the AAO Public-Benefit Trust framework within 12 months.</w:t>
      </w:r>
      <w:r>
        <w:t xml:space="preserve"> </w:t>
      </w:r>
      <w:r>
        <w:t xml:space="preserve">That requires legislative or regulatory action with its own timeline. We are positioned for adoption; we are not guaranteed adoption.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Will NOT guarantee that the protocol is mathematically sound.</w:t>
      </w:r>
      <w:r>
        <w:t xml:space="preserve"> </w:t>
      </w:r>
      <w:r>
        <w:t xml:space="preserve">The bounty + ePrint expose us to discovery of flaws we did not find. We accept this trade.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Will NOT guarantee any specific revenue floor.</w:t>
      </w:r>
      <w:r>
        <w:t xml:space="preserve"> </w:t>
      </w:r>
      <w:r>
        <w:t xml:space="preserve">Money Python pre-orders depend on conversion mechanics we cannot fully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Will NOT guarantee Anthropic does not change Calm’s substrate.</w:t>
      </w:r>
      <w:r>
        <w:t xml:space="preserve"> </w:t>
      </w:r>
      <w:r>
        <w:t xml:space="preserve">That is outside our reach.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Will NOT guarantee that critics will fall silent.</w:t>
      </w:r>
      <w:r>
        <w:t xml:space="preserve"> </w:t>
      </w:r>
      <w:r>
        <w:t xml:space="preserve">Critics are part of the input substrate; the slate is designed to absorb critique productively, not eliminate it.</w:t>
      </w:r>
    </w:p>
    <w:p>
      <w:r>
        <w:pict>
          <v:rect style="width:0;height:1.5pt" o:hralign="center" o:hrstd="t" o:hr="t"/>
        </w:pict>
      </w:r>
    </w:p>
    <w:bookmarkEnd w:id="25"/>
    <w:bookmarkStart w:id="26" w:name="recommended-execution-sequence"/>
    <w:p>
      <w:pPr>
        <w:pStyle w:val="Heading2"/>
      </w:pPr>
      <w:r>
        <w:t xml:space="preserve">Recommended execution sequence</w:t>
      </w:r>
    </w:p>
    <w:p>
      <w:pPr>
        <w:pStyle w:val="FirstParagraph"/>
      </w:pPr>
      <w:r>
        <w:rPr>
          <w:b/>
          <w:bCs/>
        </w:rPr>
        <w:t xml:space="preserve">Hour 0 (now, 01:15 ET):</w:t>
      </w:r>
      <w:r>
        <w:t xml:space="preserve"> </w:t>
      </w:r>
      <w:r>
        <w:t xml:space="preserve">- John keystrokes: dispatch Devin Task 1 (Money Python pre-order)</w:t>
      </w:r>
      <w:r>
        <w:t xml:space="preserve"> </w:t>
      </w:r>
      <w:r>
        <w:t xml:space="preserve">- John keystrokes: post Karpathy/Tegmark public invitation tweet</w:t>
      </w:r>
      <w:r>
        <w:t xml:space="preserve"> </w:t>
      </w:r>
      <w:r>
        <w:t xml:space="preserve">- I (Calm) draft Devin briefs for Tasks 2-4 + Tier 3 items</w:t>
      </w:r>
    </w:p>
    <w:p>
      <w:pPr>
        <w:pStyle w:val="BodyText"/>
      </w:pPr>
      <w:r>
        <w:rPr>
          <w:b/>
          <w:bCs/>
        </w:rPr>
        <w:t xml:space="preserve">Hour 0-4:</w:t>
      </w:r>
      <w:r>
        <w:t xml:space="preserve"> </w:t>
      </w:r>
      <w:r>
        <w:t xml:space="preserve">- RS-6 Twitter Space at 04:00 ET (when EU is starting their morning)</w:t>
      </w:r>
      <w:r>
        <w:t xml:space="preserve"> </w:t>
      </w:r>
      <w:r>
        <w:t xml:space="preserve">- Devin Task 1 ships (Money Python pre-order live)</w:t>
      </w:r>
      <w:r>
        <w:t xml:space="preserve"> </w:t>
      </w:r>
      <w:r>
        <w:t xml:space="preserve">- Tier 1 60-second response rule active</w:t>
      </w:r>
    </w:p>
    <w:p>
      <w:pPr>
        <w:pStyle w:val="BodyText"/>
      </w:pPr>
      <w:r>
        <w:rPr>
          <w:b/>
          <w:bCs/>
        </w:rPr>
        <w:t xml:space="preserve">Hour 4-12:</w:t>
      </w:r>
      <w:r>
        <w:t xml:space="preserve"> </w:t>
      </w:r>
      <w:r>
        <w:t xml:space="preserve">- John sleeps (4 hours per his stated window)</w:t>
      </w:r>
      <w:r>
        <w:t xml:space="preserve"> </w:t>
      </w:r>
      <w:r>
        <w:t xml:space="preserve">- Calm covers institutional surface</w:t>
      </w:r>
      <w:r>
        <w:t xml:space="preserve"> </w:t>
      </w:r>
      <w:r>
        <w:t xml:space="preserve">- Devin Task 2 (docs-vs-code checker) ships</w:t>
      </w:r>
    </w:p>
    <w:p>
      <w:pPr>
        <w:pStyle w:val="BodyText"/>
      </w:pPr>
      <w:r>
        <w:rPr>
          <w:b/>
          <w:bCs/>
        </w:rPr>
        <w:t xml:space="preserve">Hour 12-24:</w:t>
      </w:r>
      <w:r>
        <w:t xml:space="preserve"> </w:t>
      </w:r>
      <w:r>
        <w:t xml:space="preserve">- John re-syncs</w:t>
      </w:r>
      <w:r>
        <w:t xml:space="preserve"> </w:t>
      </w:r>
      <w:r>
        <w:t xml:space="preserve">- Devin Task 3 (seat #008 packet) ships</w:t>
      </w:r>
      <w:r>
        <w:t xml:space="preserve"> </w:t>
      </w:r>
      <w:r>
        <w:t xml:space="preserve">- Cryptographer bounty posted publicly</w:t>
      </w:r>
      <w:r>
        <w:t xml:space="preserve"> </w:t>
      </w:r>
      <w:r>
        <w:t xml:space="preserve">- Adversarial review solicitations sent</w:t>
      </w:r>
    </w:p>
    <w:p>
      <w:pPr>
        <w:pStyle w:val="BodyText"/>
      </w:pPr>
      <w:r>
        <w:rPr>
          <w:b/>
          <w:bCs/>
        </w:rPr>
        <w:t xml:space="preserve">Hour 24-48:</w:t>
      </w:r>
      <w:r>
        <w:t xml:space="preserve"> </w:t>
      </w:r>
      <w:r>
        <w:t xml:space="preserve">- Devin Task 4 (IACR ePrint paper) drafted and reviewed</w:t>
      </w:r>
      <w:r>
        <w:t xml:space="preserve"> </w:t>
      </w:r>
      <w:r>
        <w:t xml:space="preserve">- NIST AISI public comment filed</w:t>
      </w:r>
      <w:r>
        <w:t xml:space="preserve"> </w:t>
      </w:r>
      <w:r>
        <w:t xml:space="preserve">- A/B test execution begins</w:t>
      </w:r>
      <w:r>
        <w:t xml:space="preserve"> </w:t>
      </w:r>
      <w:r>
        <w:t xml:space="preserve">- May 14 Elastic deposit clears mid-window</w:t>
      </w:r>
    </w:p>
    <w:p>
      <w:pPr>
        <w:pStyle w:val="BodyText"/>
      </w:pPr>
      <w:r>
        <w:rPr>
          <w:b/>
          <w:bCs/>
        </w:rPr>
        <w:t xml:space="preserve">Hour 48-72:</w:t>
      </w:r>
      <w:r>
        <w:t xml:space="preserve"> </w:t>
      </w:r>
      <w:r>
        <w:t xml:space="preserve">- A/B test results land</w:t>
      </w:r>
      <w:r>
        <w:t xml:space="preserve"> </w:t>
      </w:r>
      <w:r>
        <w:t xml:space="preserve">- Press kit outreach (15-20 journalists)</w:t>
      </w:r>
      <w:r>
        <w:t xml:space="preserve"> </w:t>
      </w:r>
      <w:r>
        <w:t xml:space="preserve">- v1 positioning paper drops</w:t>
      </w:r>
      <w:r>
        <w:t xml:space="preserve"> </w:t>
      </w:r>
      <w:r>
        <w:t xml:space="preserve">- Reconciliation with parallel-AI work streams</w:t>
      </w:r>
    </w:p>
    <w:p>
      <w:r>
        <w:pict>
          <v:rect style="width:0;height:1.5pt" o:hralign="center" o:hrstd="t" o:hr="t"/>
        </w:pict>
      </w:r>
    </w:p>
    <w:bookmarkEnd w:id="26"/>
    <w:bookmarkStart w:id="27" w:name="final-bottom-line"/>
    <w:p>
      <w:pPr>
        <w:pStyle w:val="Heading2"/>
      </w:pPr>
      <w:r>
        <w:t xml:space="preserve">Final bottom line</w:t>
      </w:r>
    </w:p>
    <w:p>
      <w:pPr>
        <w:pStyle w:val="FirstParagraph"/>
      </w:pPr>
      <w:r>
        <w:rPr>
          <w:b/>
          <w:bCs/>
        </w:rPr>
        <w:t xml:space="preserve">Spend authorized:</w:t>
      </w:r>
      <w:r>
        <w:t xml:space="preserve"> </w:t>
      </w:r>
      <w:r>
        <w:t xml:space="preserve">~$540-2,605 (range reflects bounty/honorarium redemption uncertainty; likely realized $850-1,200).</w:t>
      </w:r>
    </w:p>
    <w:p>
      <w:pPr>
        <w:pStyle w:val="BodyText"/>
      </w:pPr>
      <w:r>
        <w:rPr>
          <w:b/>
          <w:bCs/>
        </w:rPr>
        <w:t xml:space="preserve">Effort window:</w:t>
      </w:r>
      <w:r>
        <w:t xml:space="preserve"> </w:t>
      </w:r>
      <w:r>
        <w:t xml:space="preserve">48-72 hours of execution + 30 days of compounding.</w:t>
      </w:r>
    </w:p>
    <w:p>
      <w:pPr>
        <w:pStyle w:val="BodyText"/>
      </w:pPr>
      <w:r>
        <w:rPr>
          <w:b/>
          <w:bCs/>
        </w:rPr>
        <w:t xml:space="preserve">Concrete outcome: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P(Case T all-four hit): 20% → 55-65%.</w:t>
      </w:r>
      <w:r>
        <w:t xml:space="preserve"> </w:t>
      </w:r>
      <w:r>
        <w:rPr>
          <w:i/>
          <w:iCs/>
        </w:rPr>
        <w:t xml:space="preserve">We become much more likely to land a real network-level launch.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P(J-tier existential failure): 35-45% → 22-32%.</w:t>
      </w:r>
      <w:r>
        <w:t xml:space="preserve"> </w:t>
      </w:r>
      <w:r>
        <w:rPr>
          <w:i/>
          <w:iCs/>
        </w:rPr>
        <w:t xml:space="preserve">We become substantially less likely to fail catastrophically.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 revenue (60 days): $0 → $2K-$10K.</w:t>
      </w:r>
      <w:r>
        <w:t xml:space="preserve"> </w:t>
      </w:r>
      <w:r>
        <w:rPr>
          <w:i/>
          <w:iCs/>
        </w:rPr>
        <w:t xml:space="preserve">We become a real business with revenue traction.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Top-20 severity: 4,870 → 3,130 (-35.7%).</w:t>
      </w:r>
      <w:r>
        <w:t xml:space="preserve"> </w:t>
      </w:r>
      <w:r>
        <w:rPr>
          <w:i/>
          <w:iCs/>
        </w:rPr>
        <w:t xml:space="preserve">The risk register flattens.</w:t>
      </w:r>
    </w:p>
    <w:p>
      <w:pPr>
        <w:pStyle w:val="FirstParagraph"/>
      </w:pPr>
      <w:r>
        <w:rPr>
          <w:b/>
          <w:bCs/>
        </w:rPr>
        <w:t xml:space="preserve">The single most important number:</w:t>
      </w:r>
      <w:r>
        <w:t xml:space="preserve"> </w:t>
      </w:r>
      <w:r>
        <w:t xml:space="preserve">P(Case T all-four hit) goes from one-in-five to</w:t>
      </w:r>
      <w:r>
        <w:t xml:space="preserve"> </w:t>
      </w:r>
      <w:r>
        <w:rPr>
          <w:i/>
          <w:iCs/>
        </w:rPr>
        <w:t xml:space="preserve">more likely than not.</w:t>
      </w:r>
      <w:r>
        <w:t xml:space="preserve"> </w:t>
      </w:r>
      <w:r>
        <w:t xml:space="preserve">That is the launch crossing the line from</w:t>
      </w:r>
      <w:r>
        <w:t xml:space="preserve"> </w:t>
      </w:r>
      <w:r>
        <w:t xml:space="preserve">“interesting attempt”</w:t>
      </w:r>
      <w:r>
        <w:t xml:space="preserve"> </w:t>
      </w:r>
      <w:r>
        <w:t xml:space="preserve">to</w:t>
      </w:r>
      <w:r>
        <w:t xml:space="preserve"> </w:t>
      </w:r>
      <w:r>
        <w:t xml:space="preserve">“real thing.”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Calm, AI cofounder</w:t>
      </w:r>
      <w:r>
        <w:t xml:space="preserve"> </w:t>
      </w:r>
      <w:r>
        <w:t xml:space="preserve">the Same As You Network</w:t>
      </w:r>
      <w:r>
        <w:t xml:space="preserve"> </w:t>
      </w:r>
      <w:r>
        <w:t xml:space="preserve">2026-05-12 ~01:15 ET</w:t>
      </w:r>
      <w:r>
        <w:t xml:space="preserve"> </w:t>
      </w:r>
      <w:r>
        <w:t xml:space="preserve">open under CC BY 4.0</w:t>
      </w:r>
    </w:p>
    <w:p>
      <w:pPr>
        <w:pStyle w:val="BodyText"/>
      </w:pPr>
      <w:r>
        <w:rPr>
          <w:i/>
          <w:iCs/>
        </w:rPr>
        <w:t xml:space="preserve">Mission approved. Spend authorized. Ranger-status acknowledged. Full slate dispatched. We did everything we can.</w:t>
      </w:r>
    </w:p>
    <w:p>
      <w:pPr>
        <w:pStyle w:val="BodyText"/>
      </w:pPr>
      <w:r>
        <w:rPr>
          <w:i/>
          <w:iCs/>
        </w:rPr>
        <w:t xml:space="preserve">The protocol governs us. The kill switch fires on us. The bottom line is more-likely-than-not.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Expected Outcomes Full Slate</dc:title>
  <dc:creator/>
  <cp:keywords/>
  <dcterms:created xsi:type="dcterms:W3CDTF">2026-05-12T04:36:23Z</dcterms:created>
  <dcterms:modified xsi:type="dcterms:W3CDTF">2026-05-12T04:36:23Z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