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200"/>
        <w:jc w:val="center"/>
      </w:pPr>
      <w:r>
        <w:rPr>
          <w:rFonts w:ascii="Arial" w:cs="Arial" w:eastAsia="Arial" w:hAnsi="Arial"/>
          <w:b/>
          <w:bCs/>
          <w:color w:val="1B2A4A"/>
          <w:sz w:val="56"/>
          <w:szCs w:val="56"/>
        </w:rPr>
        <w:t xml:space="preserve">[FUND NAME]</w:t>
      </w:r>
    </w:p>
    <w:p>
      <w:pPr>
        <w:spacing w:after="100"/>
        <w:jc w:val="center"/>
      </w:pPr>
      <w:r>
        <w:rPr>
          <w:rFonts w:ascii="Arial" w:cs="Arial" w:eastAsia="Arial" w:hAnsi="Arial"/>
          <w:color w:val="2E8B8B"/>
          <w:sz w:val="28"/>
          <w:szCs w:val="28"/>
        </w:rPr>
        <w:t xml:space="preserve">AI-Powered Prediction Market Fund</w:t>
      </w:r>
    </w:p>
    <w:p>
      <w:pPr>
        <w:pBdr>
          <w:bottom w:val="single" w:color="2E8B8B" w:sz="6" w:space="1"/>
        </w:pBdr>
        <w:spacing w:after="600"/>
        <w:jc w:val="center"/>
      </w:pPr>
      <w:r>
        <w:rPr>
          <w:rFonts w:ascii="Arial" w:cs="Arial" w:eastAsia="Arial" w:hAnsi="Arial"/>
          <w:sz w:val="12"/>
          <w:szCs w:val="12"/>
        </w:rPr>
        <w:t xml:space="preserve"> </w:t>
      </w:r>
    </w:p>
    <w:p>
      <w:pPr>
        <w:spacing w:after="0" w:before="400"/>
      </w:pPr>
    </w:p>
    <w:p>
      <w:pPr>
        <w:spacing w:after="120"/>
        <w:jc w:val="center"/>
      </w:pPr>
      <w:r>
        <w:rPr>
          <w:rFonts w:ascii="Arial" w:cs="Arial" w:eastAsia="Arial" w:hAnsi="Arial"/>
          <w:color w:val="1B2A4A"/>
          <w:sz w:val="36"/>
          <w:szCs w:val="36"/>
        </w:rPr>
        <w:t xml:space="preserve">Investor Report</w:t>
      </w:r>
    </w:p>
    <w:p>
      <w:pPr>
        <w:spacing w:after="120"/>
        <w:jc w:val="center"/>
      </w:pPr>
      <w:r>
        <w:rPr>
          <w:rFonts w:ascii="Arial" w:cs="Arial" w:eastAsia="Arial" w:hAnsi="Arial"/>
          <w:color w:val="666666"/>
          <w:sz w:val="28"/>
          <w:szCs w:val="28"/>
        </w:rPr>
        <w:t xml:space="preserve">Q1 2026</w:t>
      </w:r>
    </w:p>
    <w:p>
      <w:pPr>
        <w:spacing w:after="0" w:before="1200"/>
      </w:pPr>
    </w:p>
    <w:p>
      <w:pPr>
        <w:spacing w:after="80"/>
        <w:jc w:val="center"/>
      </w:pPr>
      <w:r>
        <w:rPr>
          <w:rFonts w:ascii="Arial" w:cs="Arial" w:eastAsia="Arial" w:hAnsi="Arial"/>
          <w:b/>
          <w:bCs/>
          <w:color w:val="C0392B"/>
          <w:sz w:val="20"/>
          <w:szCs w:val="20"/>
        </w:rPr>
        <w:t xml:space="preserve">CONFIDENTIAL</w:t>
      </w:r>
    </w:p>
    <w:p>
      <w:pPr>
        <w:jc w:val="center"/>
      </w:pPr>
      <w:r>
        <w:rPr>
          <w:rFonts w:ascii="Arial" w:cs="Arial" w:eastAsia="Arial" w:hAnsi="Arial"/>
          <w:i/>
          <w:iCs/>
          <w:color w:val="666666"/>
          <w:sz w:val="18"/>
          <w:szCs w:val="18"/>
        </w:rPr>
        <w:t xml:space="preserve">For Intended Recipients Only</w:t>
      </w:r>
    </w:p>
    <w:p>
      <w:r>
        <w:br w:type="page"/>
      </w:r>
    </w:p>
    <w:p>
      <w:pPr>
        <w:spacing w:after="300"/>
      </w:pPr>
      <w:r>
        <w:rPr>
          <w:rFonts w:ascii="Arial" w:cs="Arial" w:eastAsia="Arial" w:hAnsi="Arial"/>
          <w:b/>
          <w:bCs/>
          <w:color w:val="1B2A4A"/>
          <w:sz w:val="36"/>
          <w:szCs w:val="36"/>
        </w:rPr>
        <w:t xml:space="preserve">Contents</w:t>
      </w:r>
    </w:p>
    <w:p>
      <w:pPr>
        <w:tabs>
          <w:tab w:val="right" w:pos="9026"/>
        </w:tabs>
        <w:spacing w:after="140"/>
      </w:pPr>
      <w:r>
        <w:rPr>
          <w:rFonts w:ascii="Arial" w:cs="Arial" w:eastAsia="Arial" w:hAnsi="Arial"/>
          <w:color w:val="333333"/>
          <w:sz w:val="22"/>
          <w:szCs w:val="22"/>
        </w:rPr>
        <w:t xml:space="preserve">1. Letter from the Founder</w:t>
      </w:r>
      <w:r>
        <w:rPr>
          <w:rFonts w:ascii="Arial" w:cs="Arial" w:eastAsia="Arial" w:hAnsi="Arial"/>
          <w:color w:val="666666"/>
          <w:sz w:val="22"/>
          <w:szCs w:val="22"/>
        </w:rPr>
        <w:t xml:space="preserve">	3</w:t>
      </w:r>
    </w:p>
    <w:p>
      <w:pPr>
        <w:tabs>
          <w:tab w:val="right" w:pos="9026"/>
        </w:tabs>
        <w:spacing w:after="140"/>
      </w:pPr>
      <w:r>
        <w:rPr>
          <w:rFonts w:ascii="Arial" w:cs="Arial" w:eastAsia="Arial" w:hAnsi="Arial"/>
          <w:color w:val="333333"/>
          <w:sz w:val="22"/>
          <w:szCs w:val="22"/>
        </w:rPr>
        <w:t xml:space="preserve">2. The Opportunity: Prediction Markets</w:t>
      </w:r>
      <w:r>
        <w:rPr>
          <w:rFonts w:ascii="Arial" w:cs="Arial" w:eastAsia="Arial" w:hAnsi="Arial"/>
          <w:color w:val="666666"/>
          <w:sz w:val="22"/>
          <w:szCs w:val="22"/>
        </w:rPr>
        <w:t xml:space="preserve">	4</w:t>
      </w:r>
    </w:p>
    <w:p>
      <w:pPr>
        <w:tabs>
          <w:tab w:val="right" w:pos="9026"/>
        </w:tabs>
        <w:spacing w:after="140"/>
      </w:pPr>
      <w:r>
        <w:rPr>
          <w:rFonts w:ascii="Arial" w:cs="Arial" w:eastAsia="Arial" w:hAnsi="Arial"/>
          <w:color w:val="333333"/>
          <w:sz w:val="22"/>
          <w:szCs w:val="22"/>
        </w:rPr>
        <w:t xml:space="preserve">3. Our Strategy: How It Works</w:t>
      </w:r>
      <w:r>
        <w:rPr>
          <w:rFonts w:ascii="Arial" w:cs="Arial" w:eastAsia="Arial" w:hAnsi="Arial"/>
          <w:color w:val="666666"/>
          <w:sz w:val="22"/>
          <w:szCs w:val="22"/>
        </w:rPr>
        <w:t xml:space="preserve">	5</w:t>
      </w:r>
    </w:p>
    <w:p>
      <w:pPr>
        <w:tabs>
          <w:tab w:val="right" w:pos="9026"/>
        </w:tabs>
        <w:spacing w:after="140"/>
      </w:pPr>
      <w:r>
        <w:rPr>
          <w:rFonts w:ascii="Arial" w:cs="Arial" w:eastAsia="Arial" w:hAnsi="Arial"/>
          <w:color w:val="333333"/>
          <w:sz w:val="22"/>
          <w:szCs w:val="22"/>
        </w:rPr>
        <w:t xml:space="preserve">4. Performance Overview</w:t>
      </w:r>
      <w:r>
        <w:rPr>
          <w:rFonts w:ascii="Arial" w:cs="Arial" w:eastAsia="Arial" w:hAnsi="Arial"/>
          <w:color w:val="666666"/>
          <w:sz w:val="22"/>
          <w:szCs w:val="22"/>
        </w:rPr>
        <w:t xml:space="preserve">	7</w:t>
      </w:r>
    </w:p>
    <w:p>
      <w:pPr>
        <w:tabs>
          <w:tab w:val="right" w:pos="9026"/>
        </w:tabs>
        <w:spacing w:after="140"/>
      </w:pPr>
      <w:r>
        <w:rPr>
          <w:rFonts w:ascii="Arial" w:cs="Arial" w:eastAsia="Arial" w:hAnsi="Arial"/>
          <w:color w:val="333333"/>
          <w:sz w:val="22"/>
          <w:szCs w:val="22"/>
        </w:rPr>
        <w:t xml:space="preserve">5. Risk Analysis &amp; Honest Assessment</w:t>
      </w:r>
      <w:r>
        <w:rPr>
          <w:rFonts w:ascii="Arial" w:cs="Arial" w:eastAsia="Arial" w:hAnsi="Arial"/>
          <w:color w:val="666666"/>
          <w:sz w:val="22"/>
          <w:szCs w:val="22"/>
        </w:rPr>
        <w:t xml:space="preserve">	9</w:t>
      </w:r>
    </w:p>
    <w:p>
      <w:pPr>
        <w:tabs>
          <w:tab w:val="right" w:pos="9026"/>
        </w:tabs>
        <w:spacing w:after="140"/>
      </w:pPr>
      <w:r>
        <w:rPr>
          <w:rFonts w:ascii="Arial" w:cs="Arial" w:eastAsia="Arial" w:hAnsi="Arial"/>
          <w:color w:val="333333"/>
          <w:sz w:val="22"/>
          <w:szCs w:val="22"/>
        </w:rPr>
        <w:t xml:space="preserve">6. Competitive Landscape</w:t>
      </w:r>
      <w:r>
        <w:rPr>
          <w:rFonts w:ascii="Arial" w:cs="Arial" w:eastAsia="Arial" w:hAnsi="Arial"/>
          <w:color w:val="666666"/>
          <w:sz w:val="22"/>
          <w:szCs w:val="22"/>
        </w:rPr>
        <w:t xml:space="preserve">	11</w:t>
      </w:r>
    </w:p>
    <w:p>
      <w:pPr>
        <w:tabs>
          <w:tab w:val="right" w:pos="9026"/>
        </w:tabs>
        <w:spacing w:after="140"/>
      </w:pPr>
      <w:r>
        <w:rPr>
          <w:rFonts w:ascii="Arial" w:cs="Arial" w:eastAsia="Arial" w:hAnsi="Arial"/>
          <w:color w:val="333333"/>
          <w:sz w:val="22"/>
          <w:szCs w:val="22"/>
        </w:rPr>
        <w:t xml:space="preserve">7. Investment Terms</w:t>
      </w:r>
      <w:r>
        <w:rPr>
          <w:rFonts w:ascii="Arial" w:cs="Arial" w:eastAsia="Arial" w:hAnsi="Arial"/>
          <w:color w:val="666666"/>
          <w:sz w:val="22"/>
          <w:szCs w:val="22"/>
        </w:rPr>
        <w:t xml:space="preserve">	12</w:t>
      </w:r>
    </w:p>
    <w:p>
      <w:pPr>
        <w:tabs>
          <w:tab w:val="right" w:pos="9026"/>
        </w:tabs>
        <w:spacing w:after="140"/>
      </w:pPr>
      <w:r>
        <w:rPr>
          <w:rFonts w:ascii="Arial" w:cs="Arial" w:eastAsia="Arial" w:hAnsi="Arial"/>
          <w:color w:val="333333"/>
          <w:sz w:val="22"/>
          <w:szCs w:val="22"/>
        </w:rPr>
        <w:t xml:space="preserve">8. Frequently Asked Questions</w:t>
      </w:r>
      <w:r>
        <w:rPr>
          <w:rFonts w:ascii="Arial" w:cs="Arial" w:eastAsia="Arial" w:hAnsi="Arial"/>
          <w:color w:val="666666"/>
          <w:sz w:val="22"/>
          <w:szCs w:val="22"/>
        </w:rPr>
        <w:t xml:space="preserve">	13</w:t>
      </w:r>
    </w:p>
    <w:p>
      <w:pPr>
        <w:tabs>
          <w:tab w:val="right" w:pos="9026"/>
        </w:tabs>
        <w:spacing w:after="140"/>
      </w:pPr>
      <w:r>
        <w:rPr>
          <w:rFonts w:ascii="Arial" w:cs="Arial" w:eastAsia="Arial" w:hAnsi="Arial"/>
          <w:color w:val="333333"/>
          <w:sz w:val="22"/>
          <w:szCs w:val="22"/>
        </w:rPr>
        <w:t xml:space="preserve">9. Appendix: Technical Details</w:t>
      </w:r>
      <w:r>
        <w:rPr>
          <w:rFonts w:ascii="Arial" w:cs="Arial" w:eastAsia="Arial" w:hAnsi="Arial"/>
          <w:color w:val="666666"/>
          <w:sz w:val="22"/>
          <w:szCs w:val="22"/>
        </w:rPr>
        <w:t xml:space="preserve">	15</w:t>
      </w:r>
    </w:p>
    <w:p>
      <w:r>
        <w:br w:type="page"/>
      </w:r>
    </w:p>
    <w:p>
      <w:pPr>
        <w:pStyle w:val="Heading1"/>
        <w:spacing w:after="200" w:before="360"/>
      </w:pPr>
      <w:r>
        <w:rPr>
          <w:rFonts w:ascii="Arial" w:cs="Arial" w:eastAsia="Arial" w:hAnsi="Arial"/>
          <w:b/>
          <w:bCs/>
          <w:color w:val="1B2A4A"/>
          <w:sz w:val="32"/>
          <w:szCs w:val="32"/>
        </w:rPr>
        <w:t xml:space="preserve">1. Letter from the Founder</w:t>
      </w:r>
    </w:p>
    <w:p>
      <w:pPr>
        <w:spacing w:after="160" w:line="276"/>
      </w:pPr>
      <w:r>
        <w:rPr>
          <w:rFonts w:ascii="Arial" w:cs="Arial" w:eastAsia="Arial" w:hAnsi="Arial"/>
          <w:color w:val="333333"/>
          <w:sz w:val="22"/>
          <w:szCs w:val="22"/>
        </w:rPr>
        <w:t xml:space="preserve">Dear Friends and Family,</w:t>
      </w:r>
    </w:p>
    <w:p>
      <w:pPr>
        <w:spacing w:after="160" w:line="276"/>
      </w:pPr>
      <w:r>
        <w:rPr>
          <w:rFonts w:ascii="Arial" w:cs="Arial" w:eastAsia="Arial" w:hAnsi="Arial"/>
          <w:color w:val="333333"/>
          <w:sz w:val="22"/>
          <w:szCs w:val="22"/>
        </w:rPr>
        <w:t xml:space="preserve">Thank you for taking the time to read this report. I want to be upfront about something: this is an early-stage venture, and I’m sharing it with people I trust because I believe in the opportunity and because your honest feedback matters to me as much as your potential investment.</w:t>
      </w:r>
    </w:p>
    <w:p>
      <w:pPr>
        <w:spacing w:after="160" w:line="276"/>
      </w:pPr>
      <w:r>
        <w:rPr>
          <w:rFonts w:ascii="Arial" w:cs="Arial" w:eastAsia="Arial" w:hAnsi="Arial"/>
          <w:color w:val="333333"/>
          <w:sz w:val="22"/>
          <w:szCs w:val="22"/>
        </w:rPr>
        <w:t xml:space="preserve">Over the past year, I’ve been building an AI-powered trading system that makes predictions on events—elections, economic indicators, geopolitical developments, and more—and places trades on prediction markets based on those forecasts. Think of prediction markets as a stock exchange for real-world events: instead of buying shares in a company, you buy shares in an outcome (e.g., “Will inflation exceed 3% next quarter?”).</w:t>
      </w:r>
    </w:p>
    <w:p>
      <w:pPr>
        <w:spacing w:after="160" w:line="276"/>
      </w:pPr>
      <w:r>
        <w:rPr>
          <w:rFonts w:ascii="Arial" w:cs="Arial" w:eastAsia="Arial" w:hAnsi="Arial"/>
          <w:color w:val="333333"/>
          <w:sz w:val="22"/>
          <w:szCs w:val="22"/>
        </w:rPr>
        <w:t xml:space="preserve">The results so far have been encouraging. Across 532 backtested markets, our system has achieved a 64.9% win rate with an average profit of $0.60 per $2 trade. To put this in plain terms: if you flipped a coin and won 65% of the time in a casino, the casino would ask you to leave. We’re building the equivalent of a skilled card counter—but for prediction markets, and powered by AI rather than human memory.</w:t>
      </w:r>
    </w:p>
    <w:p>
      <w:pPr>
        <w:spacing w:after="160" w:line="276"/>
      </w:pPr>
      <w:r>
        <w:rPr>
          <w:rFonts w:ascii="Arial" w:cs="Arial" w:eastAsia="Arial" w:hAnsi="Arial"/>
          <w:color w:val="333333"/>
          <w:sz w:val="22"/>
          <w:szCs w:val="22"/>
        </w:rPr>
        <w:t xml:space="preserve">I want to be transparent about what this is and isn’t. The numbers in this report are primarily from backtesting—meaning we tested our strategy on historical data. Backtesting is a critical first step, but it’s not the same as live trading. I’ve detailed the limitations honestly in Section 5.</w:t>
      </w:r>
    </w:p>
    <w:p>
      <w:pPr>
        <w:spacing w:after="160" w:line="276"/>
      </w:pPr>
      <w:r>
        <w:rPr>
          <w:rFonts w:ascii="Arial" w:cs="Arial" w:eastAsia="Arial" w:hAnsi="Arial"/>
          <w:color w:val="333333"/>
          <w:sz w:val="22"/>
          <w:szCs w:val="22"/>
        </w:rPr>
        <w:t xml:space="preserve">What I’m asking for is early support to take this from a proven concept to a live, funded operation. If the idea resonates with you, I’d love to discuss it further.</w:t>
      </w:r>
    </w:p>
    <w:p>
      <w:pPr>
        <w:spacing w:after="0" w:before="200"/>
      </w:pPr>
    </w:p>
    <w:p>
      <w:pPr>
        <w:spacing w:after="160" w:line="276"/>
      </w:pPr>
      <w:r>
        <w:rPr>
          <w:rFonts w:ascii="Arial" w:cs="Arial" w:eastAsia="Arial" w:hAnsi="Arial"/>
          <w:color w:val="333333"/>
          <w:sz w:val="22"/>
          <w:szCs w:val="22"/>
        </w:rPr>
        <w:t xml:space="preserve">With gratitude,</w:t>
      </w:r>
    </w:p>
    <w:p>
      <w:pPr>
        <w:spacing w:after="160" w:line="276"/>
      </w:pPr>
      <w:r>
        <w:rPr>
          <w:rFonts w:ascii="Arial" w:cs="Arial" w:eastAsia="Arial" w:hAnsi="Arial"/>
          <w:b/>
          <w:bCs/>
          <w:color w:val="333333"/>
          <w:sz w:val="22"/>
          <w:szCs w:val="22"/>
        </w:rPr>
        <w:t xml:space="preserve">[Your Name]</w:t>
      </w:r>
    </w:p>
    <w:p>
      <w:pPr>
        <w:spacing w:after="160" w:line="276"/>
      </w:pPr>
      <w:r>
        <w:rPr>
          <w:rFonts w:ascii="Arial" w:cs="Arial" w:eastAsia="Arial" w:hAnsi="Arial"/>
          <w:i/>
          <w:iCs/>
          <w:color w:val="333333"/>
          <w:sz w:val="22"/>
          <w:szCs w:val="22"/>
        </w:rPr>
        <w:t xml:space="preserve">[Your Title / Contact Info]</w:t>
      </w:r>
    </w:p>
    <w:p>
      <w:r>
        <w:br w:type="page"/>
      </w:r>
    </w:p>
    <w:p>
      <w:pPr>
        <w:pStyle w:val="Heading1"/>
        <w:spacing w:after="200" w:before="360"/>
      </w:pPr>
      <w:r>
        <w:rPr>
          <w:rFonts w:ascii="Arial" w:cs="Arial" w:eastAsia="Arial" w:hAnsi="Arial"/>
          <w:b/>
          <w:bCs/>
          <w:color w:val="1B2A4A"/>
          <w:sz w:val="32"/>
          <w:szCs w:val="32"/>
        </w:rPr>
        <w:t xml:space="preserve">2. The Opportunity: Prediction Markets</w:t>
      </w:r>
    </w:p>
    <w:p>
      <w:pPr>
        <w:pStyle w:val="Heading2"/>
        <w:spacing w:after="160" w:before="280"/>
      </w:pPr>
      <w:r>
        <w:rPr>
          <w:rFonts w:ascii="Arial" w:cs="Arial" w:eastAsia="Arial" w:hAnsi="Arial"/>
          <w:b/>
          <w:bCs/>
          <w:color w:val="2E8B8B"/>
          <w:sz w:val="26"/>
          <w:szCs w:val="26"/>
        </w:rPr>
        <w:t xml:space="preserve">What Are Prediction Markets?</w:t>
      </w:r>
    </w:p>
    <w:p>
      <w:pPr>
        <w:spacing w:after="160" w:line="276"/>
      </w:pPr>
      <w:r>
        <w:rPr>
          <w:rFonts w:ascii="Arial" w:cs="Arial" w:eastAsia="Arial" w:hAnsi="Arial"/>
          <w:color w:val="333333"/>
          <w:sz w:val="22"/>
          <w:szCs w:val="22"/>
        </w:rPr>
        <w:t xml:space="preserve">Prediction markets are platforms where people buy and sell contracts based on the outcomes of real-world events. A contract might be “Will the Federal Reserve raise interest rates in June?”—if the answer turns out to be yes, the contract pays out $1. If no, it pays $0. The market price at any given time reflects the crowd’s estimate of the probability.</w:t>
      </w:r>
    </w:p>
    <w:p>
      <w:pPr>
        <w:spacing w:after="160" w:line="276"/>
      </w:pPr>
      <w:r>
        <w:rPr>
          <w:rFonts w:ascii="Arial" w:cs="Arial" w:eastAsia="Arial" w:hAnsi="Arial"/>
          <w:color w:val="333333"/>
          <w:sz w:val="22"/>
          <w:szCs w:val="22"/>
        </w:rPr>
        <w:t xml:space="preserve">Here’s the simplest analogy: imagine a stock market where instead of betting on whether Apple’s revenue will go up, you’re betting on whether it will rain in New York on a specific date. The “stock price” represents probability—a price of $0.70 means the market thinks there’s a 70% chance of rain.</w:t>
      </w:r>
    </w:p>
    <w:p>
      <w:pPr>
        <w:pStyle w:val="Heading2"/>
        <w:spacing w:after="160" w:before="280"/>
      </w:pPr>
      <w:r>
        <w:rPr>
          <w:rFonts w:ascii="Arial" w:cs="Arial" w:eastAsia="Arial" w:hAnsi="Arial"/>
          <w:b/>
          <w:bCs/>
          <w:color w:val="2E8B8B"/>
          <w:sz w:val="26"/>
          <w:szCs w:val="26"/>
        </w:rPr>
        <w:t xml:space="preserve">Why Is This a Good Opportunity Right Now?</w:t>
      </w:r>
    </w:p>
    <w:p>
      <w:pPr>
        <w:pStyle w:val="ListParagraph"/>
        <w:numPr>
          <w:ilvl w:val="0"/>
          <w:numId w:val="2"/>
        </w:numPr>
        <w:spacing w:after="100" w:line="276"/>
      </w:pPr>
      <w:r>
        <w:rPr>
          <w:rFonts w:ascii="Arial" w:cs="Arial" w:eastAsia="Arial" w:hAnsi="Arial"/>
          <w:color w:val="333333"/>
          <w:sz w:val="22"/>
          <w:szCs w:val="22"/>
        </w:rPr>
        <w:t xml:space="preserve">Rapid market growth: Prediction markets like Polymarket have seen explosive growth, with billions of dollars in trading volume in 2024–2025. This is a nascent market still finding its footing.</w:t>
      </w:r>
    </w:p>
    <w:p>
      <w:pPr>
        <w:pStyle w:val="ListParagraph"/>
        <w:numPr>
          <w:ilvl w:val="0"/>
          <w:numId w:val="2"/>
        </w:numPr>
        <w:spacing w:after="100" w:line="276"/>
      </w:pPr>
      <w:r>
        <w:rPr>
          <w:rFonts w:ascii="Arial" w:cs="Arial" w:eastAsia="Arial" w:hAnsi="Arial"/>
          <w:color w:val="333333"/>
          <w:sz w:val="22"/>
          <w:szCs w:val="22"/>
        </w:rPr>
        <w:t xml:space="preserve">Inefficient pricing: Unlike mature stock markets with decades of algorithmic trading, prediction markets are still largely driven by retail participants and political enthusiasts. This creates mispricings that a disciplined, AI-powered approach can exploit.</w:t>
      </w:r>
    </w:p>
    <w:p>
      <w:pPr>
        <w:pStyle w:val="ListParagraph"/>
        <w:numPr>
          <w:ilvl w:val="0"/>
          <w:numId w:val="2"/>
        </w:numPr>
        <w:spacing w:after="100" w:line="276"/>
      </w:pPr>
      <w:r>
        <w:rPr>
          <w:rFonts w:ascii="Arial" w:cs="Arial" w:eastAsia="Arial" w:hAnsi="Arial"/>
          <w:color w:val="333333"/>
          <w:sz w:val="22"/>
          <w:szCs w:val="22"/>
        </w:rPr>
        <w:t xml:space="preserve">Regulatory tailwinds: The CFTC has begun approving event-based contracts, signaling a more favorable regulatory environment for these markets in the United States.</w:t>
      </w:r>
    </w:p>
    <w:p>
      <w:pPr>
        <w:pStyle w:val="ListParagraph"/>
        <w:numPr>
          <w:ilvl w:val="0"/>
          <w:numId w:val="2"/>
        </w:numPr>
        <w:spacing w:after="100" w:line="276"/>
      </w:pPr>
      <w:r>
        <w:rPr>
          <w:rFonts w:ascii="Arial" w:cs="Arial" w:eastAsia="Arial" w:hAnsi="Arial"/>
          <w:color w:val="333333"/>
          <w:sz w:val="22"/>
          <w:szCs w:val="22"/>
        </w:rPr>
        <w:t xml:space="preserve">Information advantage: Most prediction market participants rely on gut feeling or simple news reading. An AI system that can synthesize thousands of data sources has a structural advantage.</w:t>
      </w:r>
    </w:p>
    <w:p>
      <w:pPr>
        <w:pStyle w:val="Heading2"/>
        <w:spacing w:after="160" w:before="280"/>
      </w:pPr>
      <w:r>
        <w:rPr>
          <w:rFonts w:ascii="Arial" w:cs="Arial" w:eastAsia="Arial" w:hAnsi="Arial"/>
          <w:b/>
          <w:bCs/>
          <w:color w:val="2E8B8B"/>
          <w:sz w:val="26"/>
          <w:szCs w:val="26"/>
        </w:rPr>
        <w:t xml:space="preserve">The Card-Counting Analogy</w:t>
      </w:r>
    </w:p>
    <w:p>
      <w:pPr>
        <w:spacing w:after="160" w:line="276"/>
      </w:pPr>
      <w:r>
        <w:rPr>
          <w:rFonts w:ascii="Arial" w:cs="Arial" w:eastAsia="Arial" w:hAnsi="Arial"/>
          <w:color w:val="333333"/>
          <w:sz w:val="22"/>
          <w:szCs w:val="22"/>
        </w:rPr>
        <w:t xml:space="preserve">The easiest way to understand our strategy is the card-counting analogy from blackjack. In blackjack, a card counter doesn’t win every hand. They win about 51–52% of the time. But because they bet more when the odds are in their favor and less when they’re not, that tiny edge compounds into significant profits over time.</w:t>
      </w:r>
    </w:p>
    <w:p>
      <w:pPr>
        <w:spacing w:after="160" w:line="276"/>
      </w:pPr>
      <w:r>
        <w:rPr>
          <w:rFonts w:ascii="Arial" w:cs="Arial" w:eastAsia="Arial" w:hAnsi="Arial"/>
          <w:color w:val="333333"/>
          <w:sz w:val="22"/>
          <w:szCs w:val="22"/>
        </w:rPr>
        <w:t xml:space="preserve">Our AI does something similar, but more sophisticated: it identifies prediction markets where the crowd has mispriced the probability of an event, and it trades on that mispricing. We don’t need to be right every time—we need to be right more often than the market expects, and we need to size our bets appropriately. Our 64.9% win rate is dramatically higher than the 51–52% edge of a card counter.</w:t>
      </w:r>
    </w:p>
    <w:p>
      <w:r>
        <w:br w:type="page"/>
      </w:r>
    </w:p>
    <w:p>
      <w:pPr>
        <w:pStyle w:val="Heading1"/>
        <w:spacing w:after="200" w:before="360"/>
      </w:pPr>
      <w:r>
        <w:rPr>
          <w:rFonts w:ascii="Arial" w:cs="Arial" w:eastAsia="Arial" w:hAnsi="Arial"/>
          <w:b/>
          <w:bCs/>
          <w:color w:val="1B2A4A"/>
          <w:sz w:val="32"/>
          <w:szCs w:val="32"/>
        </w:rPr>
        <w:t xml:space="preserve">3. Our Strategy: How It Works</w:t>
      </w:r>
    </w:p>
    <w:p>
      <w:pPr>
        <w:pStyle w:val="Heading2"/>
        <w:spacing w:after="160" w:before="280"/>
      </w:pPr>
      <w:r>
        <w:rPr>
          <w:rFonts w:ascii="Arial" w:cs="Arial" w:eastAsia="Arial" w:hAnsi="Arial"/>
          <w:b/>
          <w:bCs/>
          <w:color w:val="2E8B8B"/>
          <w:sz w:val="26"/>
          <w:szCs w:val="26"/>
        </w:rPr>
        <w:t xml:space="preserve">The AI Engine</w:t>
      </w:r>
    </w:p>
    <w:p>
      <w:pPr>
        <w:spacing w:after="160" w:line="276"/>
      </w:pPr>
      <w:r>
        <w:rPr>
          <w:rFonts w:ascii="Arial" w:cs="Arial" w:eastAsia="Arial" w:hAnsi="Arial"/>
          <w:color w:val="333333"/>
          <w:sz w:val="22"/>
          <w:szCs w:val="22"/>
        </w:rPr>
        <w:t xml:space="preserve">At the core of our system is a multi-model AI ensemble. Instead of relying on a single AI model, we use several AI systems—including Anthropic’s Claude and other frontier models—that each analyze a market independently. Think of it like getting a second, third, and fourth opinion from different doctors: each brings a different perspective, and the combined judgment is more reliable than any individual one.</w:t>
      </w:r>
    </w:p>
    <w:p>
      <w:pPr>
        <w:pStyle w:val="Heading2"/>
        <w:spacing w:after="160" w:before="280"/>
      </w:pPr>
      <w:r>
        <w:rPr>
          <w:rFonts w:ascii="Arial" w:cs="Arial" w:eastAsia="Arial" w:hAnsi="Arial"/>
          <w:b/>
          <w:bCs/>
          <w:color w:val="2E8B8B"/>
          <w:sz w:val="26"/>
          <w:szCs w:val="26"/>
        </w:rPr>
        <w:t xml:space="preserve">How a Trade Happens (Step by Step)</w:t>
      </w:r>
    </w:p>
    <w:p>
      <w:pPr>
        <w:spacing w:after="160" w:line="276"/>
      </w:pPr>
      <w:r>
        <w:rPr>
          <w:rFonts w:ascii="Arial" w:cs="Arial" w:eastAsia="Arial" w:hAnsi="Arial"/>
          <w:b/>
          <w:bCs/>
          <w:color w:val="333333"/>
          <w:sz w:val="22"/>
          <w:szCs w:val="22"/>
        </w:rPr>
        <w:t xml:space="preserve">Step 1 – Market Scanning. </w:t>
      </w:r>
      <w:r>
        <w:rPr>
          <w:rFonts w:ascii="Arial" w:cs="Arial" w:eastAsia="Arial" w:hAnsi="Arial"/>
          <w:color w:val="333333"/>
          <w:sz w:val="22"/>
          <w:szCs w:val="22"/>
        </w:rPr>
        <w:t xml:space="preserve">Our system continuously scans active prediction markets, identifying contracts across categories like politics, economics, technology, science, and world events.</w:t>
      </w:r>
    </w:p>
    <w:p>
      <w:pPr>
        <w:spacing w:after="160" w:line="276"/>
      </w:pPr>
      <w:r>
        <w:rPr>
          <w:rFonts w:ascii="Arial" w:cs="Arial" w:eastAsia="Arial" w:hAnsi="Arial"/>
          <w:b/>
          <w:bCs/>
          <w:color w:val="333333"/>
          <w:sz w:val="22"/>
          <w:szCs w:val="22"/>
        </w:rPr>
        <w:t xml:space="preserve">Step 2 – Multi-Model Analysis. </w:t>
      </w:r>
      <w:r>
        <w:rPr>
          <w:rFonts w:ascii="Arial" w:cs="Arial" w:eastAsia="Arial" w:hAnsi="Arial"/>
          <w:color w:val="333333"/>
          <w:sz w:val="22"/>
          <w:szCs w:val="22"/>
        </w:rPr>
        <w:t xml:space="preserve">Each AI model independently analyzes the question, considering historical data, current news, base rates (how often similar events have happened historically), and contextual factors.</w:t>
      </w:r>
    </w:p>
    <w:p>
      <w:pPr>
        <w:spacing w:after="160" w:line="276"/>
      </w:pPr>
      <w:r>
        <w:rPr>
          <w:rFonts w:ascii="Arial" w:cs="Arial" w:eastAsia="Arial" w:hAnsi="Arial"/>
          <w:b/>
          <w:bCs/>
          <w:color w:val="333333"/>
          <w:sz w:val="22"/>
          <w:szCs w:val="22"/>
        </w:rPr>
        <w:t xml:space="preserve">Step 3 – Ensemble Consensus. </w:t>
      </w:r>
      <w:r>
        <w:rPr>
          <w:rFonts w:ascii="Arial" w:cs="Arial" w:eastAsia="Arial" w:hAnsi="Arial"/>
          <w:color w:val="333333"/>
          <w:sz w:val="22"/>
          <w:szCs w:val="22"/>
        </w:rPr>
        <w:t xml:space="preserve">The models’ predictions are combined using a weighted average, with more weight given to models that have historically been more accurate in similar categories.</w:t>
      </w:r>
    </w:p>
    <w:p>
      <w:pPr>
        <w:spacing w:after="160" w:line="276"/>
      </w:pPr>
      <w:r>
        <w:rPr>
          <w:rFonts w:ascii="Arial" w:cs="Arial" w:eastAsia="Arial" w:hAnsi="Arial"/>
          <w:b/>
          <w:bCs/>
          <w:color w:val="333333"/>
          <w:sz w:val="22"/>
          <w:szCs w:val="22"/>
        </w:rPr>
        <w:t xml:space="preserve">Step 4 – Edge Detection. </w:t>
      </w:r>
      <w:r>
        <w:rPr>
          <w:rFonts w:ascii="Arial" w:cs="Arial" w:eastAsia="Arial" w:hAnsi="Arial"/>
          <w:color w:val="333333"/>
          <w:sz w:val="22"/>
          <w:szCs w:val="22"/>
        </w:rPr>
        <w:t xml:space="preserve">We compare our AI’s probability estimate to the market price. If our model says an event has a 75% chance but the market is pricing it at 60%, that’s a 15-percentage-point edge—a strong signal to buy.</w:t>
      </w:r>
    </w:p>
    <w:p>
      <w:pPr>
        <w:spacing w:after="160" w:line="276"/>
      </w:pPr>
      <w:r>
        <w:rPr>
          <w:rFonts w:ascii="Arial" w:cs="Arial" w:eastAsia="Arial" w:hAnsi="Arial"/>
          <w:b/>
          <w:bCs/>
          <w:color w:val="333333"/>
          <w:sz w:val="22"/>
          <w:szCs w:val="22"/>
        </w:rPr>
        <w:t xml:space="preserve">Step 5 – Position Sizing. </w:t>
      </w:r>
      <w:r>
        <w:rPr>
          <w:rFonts w:ascii="Arial" w:cs="Arial" w:eastAsia="Arial" w:hAnsi="Arial"/>
          <w:color w:val="333333"/>
          <w:sz w:val="22"/>
          <w:szCs w:val="22"/>
        </w:rPr>
        <w:t xml:space="preserve">We use a conservative Kelly Criterion approach (betting a fraction of the mathematically optimal amount) to determine how much to invest in each trade, ensuring no single trade can cause outsized losses.</w:t>
      </w:r>
    </w:p>
    <w:p>
      <w:pPr>
        <w:spacing w:after="160" w:line="276"/>
      </w:pPr>
      <w:r>
        <w:rPr>
          <w:rFonts w:ascii="Arial" w:cs="Arial" w:eastAsia="Arial" w:hAnsi="Arial"/>
          <w:b/>
          <w:bCs/>
          <w:color w:val="333333"/>
          <w:sz w:val="22"/>
          <w:szCs w:val="22"/>
        </w:rPr>
        <w:t xml:space="preserve">Step 6 – Execution &amp; Monitoring. </w:t>
      </w:r>
      <w:r>
        <w:rPr>
          <w:rFonts w:ascii="Arial" w:cs="Arial" w:eastAsia="Arial" w:hAnsi="Arial"/>
          <w:color w:val="333333"/>
          <w:sz w:val="22"/>
          <w:szCs w:val="22"/>
        </w:rPr>
        <w:t xml:space="preserve">Trades are executed and monitored. If conditions change significantly, positions can be adjusted before the market resolves.</w:t>
      </w:r>
    </w:p>
    <w:p>
      <w:pPr>
        <w:pStyle w:val="Heading2"/>
        <w:spacing w:after="160" w:before="280"/>
      </w:pPr>
      <w:r>
        <w:rPr>
          <w:rFonts w:ascii="Arial" w:cs="Arial" w:eastAsia="Arial" w:hAnsi="Arial"/>
          <w:b/>
          <w:bCs/>
          <w:color w:val="2E8B8B"/>
          <w:sz w:val="26"/>
          <w:szCs w:val="26"/>
        </w:rPr>
        <w:t xml:space="preserve">What Makes This Different?</w:t>
      </w:r>
    </w:p>
    <w:p>
      <w:pPr>
        <w:pStyle w:val="ListParagraph"/>
        <w:numPr>
          <w:ilvl w:val="0"/>
          <w:numId w:val="2"/>
        </w:numPr>
        <w:spacing w:after="100" w:line="276"/>
      </w:pPr>
      <w:r>
        <w:rPr>
          <w:rFonts w:ascii="Arial" w:cs="Arial" w:eastAsia="Arial" w:hAnsi="Arial"/>
          <w:color w:val="333333"/>
          <w:sz w:val="22"/>
          <w:szCs w:val="22"/>
        </w:rPr>
        <w:t xml:space="preserve">No human emotion: The AI doesn’t panic-sell or get overconfident. Every decision is data-driven.</w:t>
      </w:r>
    </w:p>
    <w:p>
      <w:pPr>
        <w:pStyle w:val="ListParagraph"/>
        <w:numPr>
          <w:ilvl w:val="0"/>
          <w:numId w:val="2"/>
        </w:numPr>
        <w:spacing w:after="100" w:line="276"/>
      </w:pPr>
      <w:r>
        <w:rPr>
          <w:rFonts w:ascii="Arial" w:cs="Arial" w:eastAsia="Arial" w:hAnsi="Arial"/>
          <w:color w:val="333333"/>
          <w:sz w:val="22"/>
          <w:szCs w:val="22"/>
        </w:rPr>
        <w:t xml:space="preserve">Speed and scale: The system can analyze hundreds of markets simultaneously, something no human trader can do.</w:t>
      </w:r>
    </w:p>
    <w:p>
      <w:pPr>
        <w:pStyle w:val="ListParagraph"/>
        <w:numPr>
          <w:ilvl w:val="0"/>
          <w:numId w:val="2"/>
        </w:numPr>
        <w:spacing w:after="100" w:line="276"/>
      </w:pPr>
      <w:r>
        <w:rPr>
          <w:rFonts w:ascii="Arial" w:cs="Arial" w:eastAsia="Arial" w:hAnsi="Arial"/>
          <w:color w:val="333333"/>
          <w:sz w:val="22"/>
          <w:szCs w:val="22"/>
        </w:rPr>
        <w:t xml:space="preserve">Continuous learning: Each resolved market provides feedback that improves future predictions.</w:t>
      </w:r>
    </w:p>
    <w:p>
      <w:pPr>
        <w:pStyle w:val="ListParagraph"/>
        <w:numPr>
          <w:ilvl w:val="0"/>
          <w:numId w:val="2"/>
        </w:numPr>
        <w:spacing w:after="100" w:line="276"/>
      </w:pPr>
      <w:r>
        <w:rPr>
          <w:rFonts w:ascii="Arial" w:cs="Arial" w:eastAsia="Arial" w:hAnsi="Arial"/>
          <w:color w:val="333333"/>
          <w:sz w:val="22"/>
          <w:szCs w:val="22"/>
        </w:rPr>
        <w:t xml:space="preserve">Calibration discipline: We rigorously measure how well our predicted probabilities match actual outcomes (more on this in the Performance section).</w:t>
      </w:r>
    </w:p>
    <w:p>
      <w:r>
        <w:br w:type="page"/>
      </w:r>
    </w:p>
    <w:p>
      <w:pPr>
        <w:pStyle w:val="Heading1"/>
        <w:spacing w:after="200" w:before="360"/>
      </w:pPr>
      <w:r>
        <w:rPr>
          <w:rFonts w:ascii="Arial" w:cs="Arial" w:eastAsia="Arial" w:hAnsi="Arial"/>
          <w:b/>
          <w:bCs/>
          <w:color w:val="1B2A4A"/>
          <w:sz w:val="32"/>
          <w:szCs w:val="32"/>
        </w:rPr>
        <w:t xml:space="preserve">4. Performance Overview</w:t>
      </w:r>
    </w:p>
    <w:p>
      <w:pPr>
        <w:spacing w:after="160" w:line="276"/>
      </w:pPr>
      <w:r>
        <w:rPr>
          <w:rFonts w:ascii="Arial" w:cs="Arial" w:eastAsia="Arial" w:hAnsi="Arial"/>
          <w:color w:val="333333"/>
          <w:sz w:val="22"/>
          <w:szCs w:val="22"/>
        </w:rPr>
        <w:t xml:space="preserve">The following results are from backtesting 532 resolved prediction markets. Please see Section 5 for an honest discussion of what backtested results can and cannot tell us.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none" w:sz="0"/>
            </w:tcBorders>
            <w:shd w:fill="F5F5F5" w:val="clear"/>
            <w:tcMar>
              <w:top w:type="dxa" w:w="160"/>
              <w:left w:type="dxa" w:w="200"/>
              <w:bottom w:type="dxa" w:w="160"/>
              <w:right w:type="dxa" w:w="200"/>
            </w:tcMar>
          </w:tcPr>
          <w:p>
            <w:pPr>
              <w:spacing w:after="40"/>
              <w:jc w:val="center"/>
            </w:pPr>
            <w:r>
              <w:rPr>
                <w:rFonts w:ascii="Arial" w:cs="Arial" w:eastAsia="Arial" w:hAnsi="Arial"/>
                <w:b/>
                <w:bCs/>
                <w:color w:val="1B2A4A"/>
                <w:sz w:val="36"/>
                <w:szCs w:val="36"/>
              </w:rPr>
              <w:t xml:space="preserve">64.9%</w:t>
            </w:r>
          </w:p>
          <w:p>
            <w:pPr>
              <w:spacing w:after="20"/>
              <w:jc w:val="center"/>
            </w:pPr>
            <w:r>
              <w:rPr>
                <w:rFonts w:ascii="Arial" w:cs="Arial" w:eastAsia="Arial" w:hAnsi="Arial"/>
                <w:b/>
                <w:bCs/>
                <w:color w:val="2E8B8B"/>
                <w:sz w:val="20"/>
                <w:szCs w:val="20"/>
              </w:rPr>
              <w:t xml:space="preserve">WIN RATE</w:t>
            </w:r>
          </w:p>
          <w:p>
            <w:pPr>
              <w:jc w:val="center"/>
            </w:pPr>
            <w:r>
              <w:rPr>
                <w:rFonts w:ascii="Arial" w:cs="Arial" w:eastAsia="Arial" w:hAnsi="Arial"/>
                <w:i/>
                <w:iCs/>
                <w:color w:val="666666"/>
                <w:sz w:val="16"/>
                <w:szCs w:val="16"/>
              </w:rPr>
              <w:t xml:space="preserve">532 markets</w:t>
            </w:r>
          </w:p>
        </w:tc>
        <w:tc>
          <w:tcPr>
            <w:tcW w:type="dxa" w:w="2340"/>
            <w:tcBorders>
              <w:top w:val="none" w:sz="0"/>
              <w:left w:val="none" w:sz="0"/>
              <w:bottom w:val="none" w:sz="0"/>
              <w:right w:val="none" w:sz="0"/>
            </w:tcBorders>
            <w:shd w:fill="F5F5F5" w:val="clear"/>
            <w:tcMar>
              <w:top w:type="dxa" w:w="160"/>
              <w:left w:type="dxa" w:w="200"/>
              <w:bottom w:type="dxa" w:w="160"/>
              <w:right w:type="dxa" w:w="200"/>
            </w:tcMar>
          </w:tcPr>
          <w:p>
            <w:pPr>
              <w:spacing w:after="40"/>
              <w:jc w:val="center"/>
            </w:pPr>
            <w:r>
              <w:rPr>
                <w:rFonts w:ascii="Arial" w:cs="Arial" w:eastAsia="Arial" w:hAnsi="Arial"/>
                <w:b/>
                <w:bCs/>
                <w:color w:val="1B2A4A"/>
                <w:sz w:val="36"/>
                <w:szCs w:val="36"/>
              </w:rPr>
              <w:t xml:space="preserve">+$0.60</w:t>
            </w:r>
          </w:p>
          <w:p>
            <w:pPr>
              <w:spacing w:after="20"/>
              <w:jc w:val="center"/>
            </w:pPr>
            <w:r>
              <w:rPr>
                <w:rFonts w:ascii="Arial" w:cs="Arial" w:eastAsia="Arial" w:hAnsi="Arial"/>
                <w:b/>
                <w:bCs/>
                <w:color w:val="2E8B8B"/>
                <w:sz w:val="20"/>
                <w:szCs w:val="20"/>
              </w:rPr>
              <w:t xml:space="preserve">AVG P&amp;L</w:t>
            </w:r>
          </w:p>
          <w:p>
            <w:pPr>
              <w:jc w:val="center"/>
            </w:pPr>
            <w:r>
              <w:rPr>
                <w:rFonts w:ascii="Arial" w:cs="Arial" w:eastAsia="Arial" w:hAnsi="Arial"/>
                <w:i/>
                <w:iCs/>
                <w:color w:val="666666"/>
                <w:sz w:val="16"/>
                <w:szCs w:val="16"/>
              </w:rPr>
              <w:t xml:space="preserve">per $2 trade</w:t>
            </w:r>
          </w:p>
        </w:tc>
        <w:tc>
          <w:tcPr>
            <w:tcW w:type="dxa" w:w="2340"/>
            <w:tcBorders>
              <w:top w:val="none" w:sz="0"/>
              <w:left w:val="none" w:sz="0"/>
              <w:bottom w:val="none" w:sz="0"/>
              <w:right w:val="none" w:sz="0"/>
            </w:tcBorders>
            <w:shd w:fill="F5F5F5" w:val="clear"/>
            <w:tcMar>
              <w:top w:type="dxa" w:w="160"/>
              <w:left w:type="dxa" w:w="200"/>
              <w:bottom w:type="dxa" w:w="160"/>
              <w:right w:type="dxa" w:w="200"/>
            </w:tcMar>
          </w:tcPr>
          <w:p>
            <w:pPr>
              <w:spacing w:after="40"/>
              <w:jc w:val="center"/>
            </w:pPr>
            <w:r>
              <w:rPr>
                <w:rFonts w:ascii="Arial" w:cs="Arial" w:eastAsia="Arial" w:hAnsi="Arial"/>
                <w:b/>
                <w:bCs/>
                <w:color w:val="1B2A4A"/>
                <w:sz w:val="36"/>
                <w:szCs w:val="36"/>
              </w:rPr>
              <w:t xml:space="preserve">0.239</w:t>
            </w:r>
          </w:p>
          <w:p>
            <w:pPr>
              <w:spacing w:after="20"/>
              <w:jc w:val="center"/>
            </w:pPr>
            <w:r>
              <w:rPr>
                <w:rFonts w:ascii="Arial" w:cs="Arial" w:eastAsia="Arial" w:hAnsi="Arial"/>
                <w:b/>
                <w:bCs/>
                <w:color w:val="2E8B8B"/>
                <w:sz w:val="20"/>
                <w:szCs w:val="20"/>
              </w:rPr>
              <w:t xml:space="preserve">BRIER SCORE</w:t>
            </w:r>
          </w:p>
          <w:p>
            <w:pPr>
              <w:jc w:val="center"/>
            </w:pPr>
            <w:r>
              <w:rPr>
                <w:rFonts w:ascii="Arial" w:cs="Arial" w:eastAsia="Arial" w:hAnsi="Arial"/>
                <w:i/>
                <w:iCs/>
                <w:color w:val="666666"/>
                <w:sz w:val="16"/>
                <w:szCs w:val="16"/>
              </w:rPr>
              <w:t xml:space="preserve">calibration</w:t>
            </w:r>
          </w:p>
        </w:tc>
        <w:tc>
          <w:tcPr>
            <w:tcW w:type="dxa" w:w="2340"/>
            <w:tcBorders>
              <w:top w:val="none" w:sz="0"/>
              <w:left w:val="none" w:sz="0"/>
              <w:bottom w:val="none" w:sz="0"/>
              <w:right w:val="none" w:sz="0"/>
            </w:tcBorders>
            <w:shd w:fill="F5F5F5" w:val="clear"/>
            <w:tcMar>
              <w:top w:type="dxa" w:w="160"/>
              <w:left w:type="dxa" w:w="200"/>
              <w:bottom w:type="dxa" w:w="160"/>
              <w:right w:type="dxa" w:w="200"/>
            </w:tcMar>
          </w:tcPr>
          <w:p>
            <w:pPr>
              <w:spacing w:after="40"/>
              <w:jc w:val="center"/>
            </w:pPr>
            <w:r>
              <w:rPr>
                <w:rFonts w:ascii="Arial" w:cs="Arial" w:eastAsia="Arial" w:hAnsi="Arial"/>
                <w:b/>
                <w:bCs/>
                <w:color w:val="1B2A4A"/>
                <w:sz w:val="36"/>
                <w:szCs w:val="36"/>
              </w:rPr>
              <w:t xml:space="preserve">128–469%</w:t>
            </w:r>
          </w:p>
          <w:p>
            <w:pPr>
              <w:spacing w:after="20"/>
              <w:jc w:val="center"/>
            </w:pPr>
            <w:r>
              <w:rPr>
                <w:rFonts w:ascii="Arial" w:cs="Arial" w:eastAsia="Arial" w:hAnsi="Arial"/>
                <w:b/>
                <w:bCs/>
                <w:color w:val="2E8B8B"/>
                <w:sz w:val="20"/>
                <w:szCs w:val="20"/>
              </w:rPr>
              <w:t xml:space="preserve">PROJ. ARR</w:t>
            </w:r>
          </w:p>
          <w:p>
            <w:pPr>
              <w:jc w:val="center"/>
            </w:pPr>
            <w:r>
              <w:rPr>
                <w:rFonts w:ascii="Arial" w:cs="Arial" w:eastAsia="Arial" w:hAnsi="Arial"/>
                <w:i/>
                <w:iCs/>
                <w:color w:val="666666"/>
                <w:sz w:val="16"/>
                <w:szCs w:val="16"/>
              </w:rPr>
              <w:t xml:space="preserve">range</w:t>
            </w:r>
          </w:p>
        </w:tc>
      </w:tr>
    </w:tbl>
    <w:p>
      <w:pPr>
        <w:spacing w:after="0" w:before="200"/>
      </w:pPr>
    </w:p>
    <w:p>
      <w:pPr>
        <w:pStyle w:val="Heading2"/>
        <w:spacing w:after="160" w:before="280"/>
      </w:pPr>
      <w:r>
        <w:rPr>
          <w:rFonts w:ascii="Arial" w:cs="Arial" w:eastAsia="Arial" w:hAnsi="Arial"/>
          <w:b/>
          <w:bCs/>
          <w:color w:val="2E8B8B"/>
          <w:sz w:val="26"/>
          <w:szCs w:val="26"/>
        </w:rPr>
        <w:t xml:space="preserve">What These Numbers Mean</w:t>
      </w:r>
    </w:p>
    <w:p>
      <w:pPr>
        <w:spacing w:after="160" w:line="276"/>
      </w:pPr>
      <w:r>
        <w:rPr>
          <w:rFonts w:ascii="Arial" w:cs="Arial" w:eastAsia="Arial" w:hAnsi="Arial"/>
          <w:b/>
          <w:bCs/>
          <w:color w:val="333333"/>
          <w:sz w:val="22"/>
          <w:szCs w:val="22"/>
        </w:rPr>
        <w:t xml:space="preserve">Win Rate (64.9%): </w:t>
      </w:r>
      <w:r>
        <w:rPr>
          <w:rFonts w:ascii="Arial" w:cs="Arial" w:eastAsia="Arial" w:hAnsi="Arial"/>
          <w:color w:val="333333"/>
          <w:sz w:val="22"/>
          <w:szCs w:val="22"/>
        </w:rPr>
        <w:t xml:space="preserve">Out of every 100 trades, we win about 65. In prediction markets, where contracts are binary (you either win or lose), anything consistently above 55% is considered strong performance. Our 64.9% suggests a meaningful, persistent edge.</w:t>
      </w:r>
    </w:p>
    <w:p>
      <w:pPr>
        <w:spacing w:after="160" w:line="276"/>
      </w:pPr>
      <w:r>
        <w:rPr>
          <w:rFonts w:ascii="Arial" w:cs="Arial" w:eastAsia="Arial" w:hAnsi="Arial"/>
          <w:b/>
          <w:bCs/>
          <w:color w:val="333333"/>
          <w:sz w:val="22"/>
          <w:szCs w:val="22"/>
        </w:rPr>
        <w:t xml:space="preserve">Average P&amp;L (+$0.60 per $2 trade): </w:t>
      </w:r>
      <w:r>
        <w:rPr>
          <w:rFonts w:ascii="Arial" w:cs="Arial" w:eastAsia="Arial" w:hAnsi="Arial"/>
          <w:color w:val="333333"/>
          <w:sz w:val="22"/>
          <w:szCs w:val="22"/>
        </w:rPr>
        <w:t xml:space="preserve">For every $2 invested in a contract, we make an average profit of $0.60, or a 30% return per trade. Note that individual trades vary significantly—some lose the full $2, others gain up to $2. This is the average across all 532 markets.</w:t>
      </w:r>
    </w:p>
    <w:p>
      <w:pPr>
        <w:spacing w:after="160" w:line="276"/>
      </w:pPr>
      <w:r>
        <w:rPr>
          <w:rFonts w:ascii="Arial" w:cs="Arial" w:eastAsia="Arial" w:hAnsi="Arial"/>
          <w:b/>
          <w:bCs/>
          <w:color w:val="333333"/>
          <w:sz w:val="22"/>
          <w:szCs w:val="22"/>
        </w:rPr>
        <w:t xml:space="preserve">Brier Score (0.239): </w:t>
      </w:r>
      <w:r>
        <w:rPr>
          <w:rFonts w:ascii="Arial" w:cs="Arial" w:eastAsia="Arial" w:hAnsi="Arial"/>
          <w:color w:val="333333"/>
          <w:sz w:val="22"/>
          <w:szCs w:val="22"/>
        </w:rPr>
        <w:t xml:space="preserve">This is a statistical measure of prediction accuracy. A Brier score of 0.0 means perfect predictions; 0.25 is what you’d get by always predicting 50/50. Our 0.239 indicates our probabilities are well-calibrated—when we say something has a 70% chance, it actually happens about 70% of the time. This is important because it means our edge is real, not just luck.</w:t>
      </w:r>
    </w:p>
    <w:p>
      <w:pPr>
        <w:spacing w:after="160" w:line="276"/>
      </w:pPr>
      <w:r>
        <w:rPr>
          <w:rFonts w:ascii="Arial" w:cs="Arial" w:eastAsia="Arial" w:hAnsi="Arial"/>
          <w:b/>
          <w:bCs/>
          <w:color w:val="333333"/>
          <w:sz w:val="22"/>
          <w:szCs w:val="22"/>
        </w:rPr>
        <w:t xml:space="preserve">Projected Annualized Return (128–469%): </w:t>
      </w:r>
      <w:r>
        <w:rPr>
          <w:rFonts w:ascii="Arial" w:cs="Arial" w:eastAsia="Arial" w:hAnsi="Arial"/>
          <w:color w:val="333333"/>
          <w:sz w:val="22"/>
          <w:szCs w:val="22"/>
        </w:rPr>
        <w:t xml:space="preserve">This is a wide range intentionally. The conservative estimate (128%) assumes we only trade the highest-confidence opportunities with maximum risk management. The aggressive estimate (469%) assumes full capital deployment across all identified opportunities. The actual return will depend on trading volume, market liquidity, and capital deployed. We advise planning around the conservative figure.</w:t>
      </w:r>
    </w:p>
    <w:p>
      <w:pPr>
        <w:pStyle w:val="Heading2"/>
        <w:spacing w:after="160" w:before="280"/>
      </w:pPr>
      <w:r>
        <w:rPr>
          <w:rFonts w:ascii="Arial" w:cs="Arial" w:eastAsia="Arial" w:hAnsi="Arial"/>
          <w:b/>
          <w:bCs/>
          <w:color w:val="2E8B8B"/>
          <w:sz w:val="26"/>
          <w:szCs w:val="26"/>
        </w:rPr>
        <w:t xml:space="preserve">Performance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680"/>
        <w:gridCol w:w="168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Markets</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Win Rate</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Avg P&amp;L</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Politics / Elections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68.0%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+$0.72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Economics / Finance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112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63.4%</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+$0.54</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Technology / AI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66.3%</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+$0.65</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Science / Climate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74</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62.2%</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+$0.48</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Geopolitics / World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+$0.42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Other / Miscellaneous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64.4%</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+$0.58</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Lower</w:t>
            </w:r>
          </w:p>
        </w:tc>
      </w:tr>
    </w:tbl>
    <w:p>
      <w:pPr>
        <w:spacing w:after="0" w:before="100"/>
      </w:pPr>
    </w:p>
    <w:p>
      <w:pPr>
        <w:spacing w:after="160" w:line="276"/>
      </w:pPr>
      <w:r>
        <w:rPr>
          <w:rFonts w:ascii="Arial" w:cs="Arial" w:eastAsia="Arial" w:hAnsi="Arial"/>
          <w:i/>
          <w:iCs/>
          <w:color w:val="333333"/>
          <w:sz w:val="22"/>
          <w:szCs w:val="22"/>
        </w:rPr>
        <w:t xml:space="preserve">Note: Category-level data provides directional insight but sample sizes within categories are smaller, meaning individual category performance may fluctuate more than the overall average.</w:t>
      </w:r>
    </w:p>
    <w:p>
      <w:pPr>
        <w:pStyle w:val="Heading2"/>
        <w:spacing w:after="160" w:before="280"/>
      </w:pPr>
      <w:r>
        <w:rPr>
          <w:rFonts w:ascii="Arial" w:cs="Arial" w:eastAsia="Arial" w:hAnsi="Arial"/>
          <w:b/>
          <w:bCs/>
          <w:color w:val="2E8B8B"/>
          <w:sz w:val="26"/>
          <w:szCs w:val="26"/>
        </w:rPr>
        <w:t xml:space="preserve">Suggested Visualizations (To Be Added)</w:t>
      </w:r>
    </w:p>
    <w:p>
      <w:pPr>
        <w:spacing w:after="160" w:line="276"/>
      </w:pPr>
      <w:r>
        <w:rPr>
          <w:rFonts w:ascii="Arial" w:cs="Arial" w:eastAsia="Arial" w:hAnsi="Arial"/>
          <w:color w:val="333333"/>
          <w:sz w:val="22"/>
          <w:szCs w:val="22"/>
        </w:rPr>
        <w:t xml:space="preserve">The following charts should be created from your live trading data and inserted into this section:</w:t>
      </w:r>
    </w:p>
    <w:p>
      <w:pPr>
        <w:pStyle w:val="ListParagraph"/>
        <w:numPr>
          <w:ilvl w:val="0"/>
          <w:numId w:val="2"/>
        </w:numPr>
        <w:spacing w:after="100" w:line="276"/>
      </w:pPr>
      <w:r>
        <w:rPr>
          <w:rFonts w:ascii="Arial" w:cs="Arial" w:eastAsia="Arial" w:hAnsi="Arial"/>
          <w:color w:val="333333"/>
          <w:sz w:val="22"/>
          <w:szCs w:val="22"/>
        </w:rPr>
        <w:t xml:space="preserve">Equity Curve: Cumulative P&amp;L over time, showing the growth trajectory of the fund. This is the single most important chart for investors—it visually demonstrates compounding returns.</w:t>
      </w:r>
    </w:p>
    <w:p>
      <w:pPr>
        <w:pStyle w:val="ListParagraph"/>
        <w:numPr>
          <w:ilvl w:val="0"/>
          <w:numId w:val="2"/>
        </w:numPr>
        <w:spacing w:after="100" w:line="276"/>
      </w:pPr>
      <w:r>
        <w:rPr>
          <w:rFonts w:ascii="Arial" w:cs="Arial" w:eastAsia="Arial" w:hAnsi="Arial"/>
          <w:color w:val="333333"/>
          <w:sz w:val="22"/>
          <w:szCs w:val="22"/>
        </w:rPr>
        <w:t xml:space="preserve">Calibration Plot: Predicted probability vs. actual outcome frequency. A perfectly calibrated model follows a diagonal line. Our Brier score of 0.239 suggests this plot will show strong calibration.</w:t>
      </w:r>
    </w:p>
    <w:p>
      <w:pPr>
        <w:pStyle w:val="ListParagraph"/>
        <w:numPr>
          <w:ilvl w:val="0"/>
          <w:numId w:val="2"/>
        </w:numPr>
        <w:spacing w:after="100" w:line="276"/>
      </w:pPr>
      <w:r>
        <w:rPr>
          <w:rFonts w:ascii="Arial" w:cs="Arial" w:eastAsia="Arial" w:hAnsi="Arial"/>
          <w:color w:val="333333"/>
          <w:sz w:val="22"/>
          <w:szCs w:val="22"/>
        </w:rPr>
        <w:t xml:space="preserve">Monthly Return Heatmap: A calendar-style grid showing monthly returns, colored from red (losses) to green (gains). This helps investors understand return consistency.</w:t>
      </w:r>
    </w:p>
    <w:p>
      <w:pPr>
        <w:pStyle w:val="ListParagraph"/>
        <w:numPr>
          <w:ilvl w:val="0"/>
          <w:numId w:val="2"/>
        </w:numPr>
        <w:spacing w:after="100" w:line="276"/>
      </w:pPr>
      <w:r>
        <w:rPr>
          <w:rFonts w:ascii="Arial" w:cs="Arial" w:eastAsia="Arial" w:hAnsi="Arial"/>
          <w:color w:val="333333"/>
          <w:sz w:val="22"/>
          <w:szCs w:val="22"/>
        </w:rPr>
        <w:t xml:space="preserve">Drawdown Analysis: Peak-to-trough chart showing the worst losing streaks. Critical for setting realistic expectations about volatility.</w:t>
      </w:r>
    </w:p>
    <w:p>
      <w:pPr>
        <w:pStyle w:val="ListParagraph"/>
        <w:numPr>
          <w:ilvl w:val="0"/>
          <w:numId w:val="2"/>
        </w:numPr>
        <w:spacing w:after="100" w:line="276"/>
      </w:pPr>
      <w:r>
        <w:rPr>
          <w:rFonts w:ascii="Arial" w:cs="Arial" w:eastAsia="Arial" w:hAnsi="Arial"/>
          <w:color w:val="333333"/>
          <w:sz w:val="22"/>
          <w:szCs w:val="22"/>
        </w:rPr>
        <w:t xml:space="preserve">Win Rate by Category: Bar chart breaking down performance across market types, helping investors understand where the AI excels.</w:t>
      </w:r>
    </w:p>
    <w:p>
      <w:r>
        <w:br w:type="page"/>
      </w:r>
    </w:p>
    <w:p>
      <w:pPr>
        <w:pStyle w:val="Heading1"/>
        <w:spacing w:after="200" w:before="360"/>
      </w:pPr>
      <w:r>
        <w:rPr>
          <w:rFonts w:ascii="Arial" w:cs="Arial" w:eastAsia="Arial" w:hAnsi="Arial"/>
          <w:b/>
          <w:bCs/>
          <w:color w:val="1B2A4A"/>
          <w:sz w:val="32"/>
          <w:szCs w:val="32"/>
        </w:rPr>
        <w:t xml:space="preserve">5. Risk Analysis &amp; Honest Assessment</w:t>
      </w:r>
    </w:p>
    <w:p>
      <w:pPr>
        <w:spacing w:after="160" w:line="276"/>
      </w:pPr>
      <w:r>
        <w:rPr>
          <w:rFonts w:ascii="Arial" w:cs="Arial" w:eastAsia="Arial" w:hAnsi="Arial"/>
          <w:color w:val="333333"/>
          <w:sz w:val="22"/>
          <w:szCs w:val="22"/>
        </w:rPr>
        <w:t xml:space="preserve">Transparency is a core principle of this fund. Below is an honest assessment of the risks, limitations, and uncertainties involved. Every investment carries risk, and this one is no exception.</w:t>
      </w:r>
    </w:p>
    <w:p>
      <w:pPr>
        <w:pStyle w:val="Heading2"/>
        <w:spacing w:after="160" w:before="280"/>
      </w:pPr>
      <w:r>
        <w:rPr>
          <w:rFonts w:ascii="Arial" w:cs="Arial" w:eastAsia="Arial" w:hAnsi="Arial"/>
          <w:b/>
          <w:bCs/>
          <w:color w:val="2E8B8B"/>
          <w:sz w:val="26"/>
          <w:szCs w:val="26"/>
        </w:rPr>
        <w:t xml:space="preserve">The Backtesting Caveat</w:t>
      </w:r>
    </w:p>
    <w:p>
      <w:pPr>
        <w:spacing w:after="160" w:line="276"/>
      </w:pPr>
      <w:r>
        <w:rPr>
          <w:rFonts w:ascii="Arial" w:cs="Arial" w:eastAsia="Arial" w:hAnsi="Arial"/>
          <w:b/>
          <w:bCs/>
          <w:color w:val="333333"/>
          <w:sz w:val="22"/>
          <w:szCs w:val="22"/>
        </w:rPr>
        <w:t xml:space="preserve">What backtesting is: </w:t>
      </w:r>
      <w:r>
        <w:rPr>
          <w:rFonts w:ascii="Arial" w:cs="Arial" w:eastAsia="Arial" w:hAnsi="Arial"/>
          <w:color w:val="333333"/>
          <w:sz w:val="22"/>
          <w:szCs w:val="22"/>
        </w:rPr>
        <w:t xml:space="preserve">We took 532 historical prediction markets and asked, “If our AI system had been trading these in real time, what would the results have looked like?” The 64.9% win rate and +$0.60 average P&amp;L come from this exercise.</w:t>
      </w:r>
    </w:p>
    <w:p>
      <w:pPr>
        <w:spacing w:after="160" w:line="276"/>
      </w:pPr>
      <w:r>
        <w:rPr>
          <w:rFonts w:ascii="Arial" w:cs="Arial" w:eastAsia="Arial" w:hAnsi="Arial"/>
          <w:b/>
          <w:bCs/>
          <w:color w:val="333333"/>
          <w:sz w:val="22"/>
          <w:szCs w:val="22"/>
        </w:rPr>
        <w:t xml:space="preserve">What backtesting isn’t: </w:t>
      </w:r>
      <w:r>
        <w:rPr>
          <w:rFonts w:ascii="Arial" w:cs="Arial" w:eastAsia="Arial" w:hAnsi="Arial"/>
          <w:color w:val="333333"/>
          <w:sz w:val="22"/>
          <w:szCs w:val="22"/>
        </w:rPr>
        <w:t xml:space="preserve">It is not a guarantee of future performance. Backtesting cannot account for execution challenges (slippage, liquidity), market impact (our trades moving the price), or changes in market efficiency over time.</w:t>
      </w:r>
    </w:p>
    <w:p>
      <w:pPr>
        <w:spacing w:after="160" w:line="276"/>
      </w:pPr>
      <w:r>
        <w:rPr>
          <w:rFonts w:ascii="Arial" w:cs="Arial" w:eastAsia="Arial" w:hAnsi="Arial"/>
          <w:b/>
          <w:bCs/>
          <w:color w:val="333333"/>
          <w:sz w:val="22"/>
          <w:szCs w:val="22"/>
        </w:rPr>
        <w:t xml:space="preserve">Our mitigation: </w:t>
      </w:r>
      <w:r>
        <w:rPr>
          <w:rFonts w:ascii="Arial" w:cs="Arial" w:eastAsia="Arial" w:hAnsi="Arial"/>
          <w:color w:val="333333"/>
          <w:sz w:val="22"/>
          <w:szCs w:val="22"/>
        </w:rPr>
        <w:t xml:space="preserve">We have built in conservative assumptions. Our backtests do not assume perfect execution, and we have excluded markets with very low liquidity. We are also running a live paper-trading pilot to validate backtested results before deploying significant capital. Early live results will be shared with investors as soon as they are available.</w:t>
      </w:r>
    </w:p>
    <w:p>
      <w:pPr>
        <w:pStyle w:val="Heading2"/>
        <w:spacing w:after="160" w:before="280"/>
      </w:pPr>
      <w:r>
        <w:rPr>
          <w:rFonts w:ascii="Arial" w:cs="Arial" w:eastAsia="Arial" w:hAnsi="Arial"/>
          <w:b/>
          <w:bCs/>
          <w:color w:val="2E8B8B"/>
          <w:sz w:val="26"/>
          <w:szCs w:val="26"/>
        </w:rPr>
        <w:t xml:space="preserve">Key Risk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Model Risk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models can degrade if prediction markets become more efficient or if market dynamics shift.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Multi-model ensemble reduces single-model dependency. Continuous retraining and performance monitoring.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Market Risk</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Prediction market platforms could change rules, fees, or shut down.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Diversification across multiple platforms. Maintaining platform-agnostic architecture.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Liquidity Risk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Some markets have thin order books, limiting trade size.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Conservative position sizing. Focus on markets with sufficient volume.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Regulatory Risk</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Prediction markets face evolving regulation that could restrict trading.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Legal counsel review. Geographic diversification of platform exposure.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Overfitting Risk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Backtested strategies can appear better than they perform live.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Out-of-sample testing, walk-forward analysis, and conservative return estimates.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Concentration Risk</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Correlated markets (e.g., multiple political markets) could all move against us simultaneously.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 diversification limits and correlation monitoring.</w:t>
            </w:r>
          </w:p>
        </w:tc>
      </w:tr>
    </w:tbl>
    <w:p>
      <w:pPr>
        <w:pStyle w:val="Heading2"/>
        <w:spacing w:after="160" w:before="280"/>
      </w:pPr>
      <w:r>
        <w:rPr>
          <w:rFonts w:ascii="Arial" w:cs="Arial" w:eastAsia="Arial" w:hAnsi="Arial"/>
          <w:b/>
          <w:bCs/>
          <w:color w:val="2E8B8B"/>
          <w:sz w:val="26"/>
          <w:szCs w:val="26"/>
        </w:rPr>
        <w:t xml:space="preserve">What Could Go Wrong: Worst-Case Scenarios</w:t>
      </w:r>
    </w:p>
    <w:p>
      <w:pPr>
        <w:spacing w:after="160" w:line="276"/>
      </w:pPr>
      <w:r>
        <w:rPr>
          <w:rFonts w:ascii="Arial" w:cs="Arial" w:eastAsia="Arial" w:hAnsi="Arial"/>
          <w:b/>
          <w:bCs/>
          <w:color w:val="333333"/>
          <w:sz w:val="22"/>
          <w:szCs w:val="22"/>
        </w:rPr>
        <w:t xml:space="preserve">Scenario 1 – Model Degradation: </w:t>
      </w:r>
      <w:r>
        <w:rPr>
          <w:rFonts w:ascii="Arial" w:cs="Arial" w:eastAsia="Arial" w:hAnsi="Arial"/>
          <w:color w:val="333333"/>
          <w:sz w:val="22"/>
          <w:szCs w:val="22"/>
        </w:rPr>
        <w:t xml:space="preserve">If prediction markets become significantly more efficient (more algorithmic traders enter), our edge could shrink from 65% to 55% or lower. At 55%, the fund would still be profitable but returns would be modest. Below 52–53%, we would pause trading and reassess.</w:t>
      </w:r>
    </w:p>
    <w:p>
      <w:pPr>
        <w:spacing w:after="160" w:line="276"/>
      </w:pPr>
      <w:r>
        <w:rPr>
          <w:rFonts w:ascii="Arial" w:cs="Arial" w:eastAsia="Arial" w:hAnsi="Arial"/>
          <w:b/>
          <w:bCs/>
          <w:color w:val="333333"/>
          <w:sz w:val="22"/>
          <w:szCs w:val="22"/>
        </w:rPr>
        <w:t xml:space="preserve">Scenario 2 – Platform Risk: </w:t>
      </w:r>
      <w:r>
        <w:rPr>
          <w:rFonts w:ascii="Arial" w:cs="Arial" w:eastAsia="Arial" w:hAnsi="Arial"/>
          <w:color w:val="333333"/>
          <w:sz w:val="22"/>
          <w:szCs w:val="22"/>
        </w:rPr>
        <w:t xml:space="preserve">A major prediction market platform shuts down or freezes withdrawals. Mitigation: We never keep more than 30% of assets on any single platform and maintain withdrawal schedules.</w:t>
      </w:r>
    </w:p>
    <w:p>
      <w:pPr>
        <w:spacing w:after="160" w:line="276"/>
      </w:pPr>
      <w:r>
        <w:rPr>
          <w:rFonts w:ascii="Arial" w:cs="Arial" w:eastAsia="Arial" w:hAnsi="Arial"/>
          <w:b/>
          <w:bCs/>
          <w:color w:val="333333"/>
          <w:sz w:val="22"/>
          <w:szCs w:val="22"/>
        </w:rPr>
        <w:t xml:space="preserve">Scenario 3 – Sustained Drawdown: </w:t>
      </w:r>
      <w:r>
        <w:rPr>
          <w:rFonts w:ascii="Arial" w:cs="Arial" w:eastAsia="Arial" w:hAnsi="Arial"/>
          <w:color w:val="333333"/>
          <w:sz w:val="22"/>
          <w:szCs w:val="22"/>
        </w:rPr>
        <w:t xml:space="preserve">Even with a 65% win rate, there will be losing streaks. Statistically, a streak of 8–10 consecutive losses is possible over hundreds of trades. Position sizing ensures no single loss exceeds 2–3% of total capital.</w:t>
      </w:r>
    </w:p>
    <w:p>
      <w:pPr>
        <w:spacing w:after="160" w:line="276"/>
      </w:pPr>
      <w:r>
        <w:rPr>
          <w:rFonts w:ascii="Arial" w:cs="Arial" w:eastAsia="Arial" w:hAnsi="Arial"/>
          <w:b/>
          <w:bCs/>
          <w:color w:val="333333"/>
          <w:sz w:val="22"/>
          <w:szCs w:val="22"/>
        </w:rPr>
        <w:t xml:space="preserve">Bottom line: This is a high-risk, high-reward opportunity. You should only invest money you can afford to lose entirely.</w:t>
      </w:r>
    </w:p>
    <w:p>
      <w:r>
        <w:br w:type="page"/>
      </w:r>
    </w:p>
    <w:p>
      <w:pPr>
        <w:pStyle w:val="Heading1"/>
        <w:spacing w:after="200" w:before="360"/>
      </w:pPr>
      <w:r>
        <w:rPr>
          <w:rFonts w:ascii="Arial" w:cs="Arial" w:eastAsia="Arial" w:hAnsi="Arial"/>
          <w:b/>
          <w:bCs/>
          <w:color w:val="1B2A4A"/>
          <w:sz w:val="32"/>
          <w:szCs w:val="32"/>
        </w:rPr>
        <w:t xml:space="preserve">6. Competitive Landscape</w:t>
      </w:r>
    </w:p>
    <w:p>
      <w:pPr>
        <w:spacing w:after="160" w:line="276"/>
      </w:pPr>
      <w:r>
        <w:rPr>
          <w:rFonts w:ascii="Arial" w:cs="Arial" w:eastAsia="Arial" w:hAnsi="Arial"/>
          <w:color w:val="333333"/>
          <w:sz w:val="22"/>
          <w:szCs w:val="22"/>
        </w:rPr>
        <w:t xml:space="preserve">The AI-powered prediction market space is emerging but growing. Here is how we compare to known approaches: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60"/>
        <w:gridCol w:w="1500"/>
        <w:gridCol w:w="150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Our Fund</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Metaculus</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Manifold</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Manual Traders</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Quant Funds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AI-Powered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8B57"/>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Partial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Multi-Model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8B57"/>
                <w:sz w:val="20"/>
                <w:szCs w:val="20"/>
              </w:rPr>
              <w:t xml:space="preserve">Yes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Varies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Auto-Trading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8B57"/>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Backtested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8B57"/>
                <w:sz w:val="20"/>
                <w:szCs w:val="20"/>
              </w:rPr>
              <w:t xml:space="preserve">532 mkts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Unknown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Calibrated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8B57"/>
                <w:sz w:val="20"/>
                <w:szCs w:val="20"/>
              </w:rPr>
              <w:t xml:space="preserve">0.239 Brier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~0.18*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~0.30*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Unknown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Unknown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Accessible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8B57"/>
                <w:sz w:val="20"/>
                <w:szCs w:val="20"/>
              </w:rPr>
              <w:t xml:space="preserve">Yes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Public</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Public</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Accredited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Track Record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8B57"/>
                <w:sz w:val="20"/>
                <w:szCs w:val="20"/>
              </w:rPr>
              <w:t xml:space="preserve">Backtest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Years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Years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Varies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Varies</w:t>
            </w:r>
          </w:p>
        </w:tc>
      </w:tr>
    </w:tbl>
    <w:p>
      <w:pPr>
        <w:spacing w:after="0" w:before="100"/>
      </w:pPr>
    </w:p>
    <w:p>
      <w:pPr>
        <w:spacing w:after="160" w:line="276"/>
      </w:pPr>
      <w:r>
        <w:rPr>
          <w:rFonts w:ascii="Arial" w:cs="Arial" w:eastAsia="Arial" w:hAnsi="Arial"/>
          <w:i/>
          <w:iCs/>
          <w:color w:val="333333"/>
          <w:sz w:val="22"/>
          <w:szCs w:val="22"/>
        </w:rPr>
        <w:t xml:space="preserve">*Approximate publicly available figures. Metaculus and Manifold are forecasting platforms, not funds—included for calibration comparison only.</w:t>
      </w:r>
    </w:p>
    <w:p>
      <w:pPr>
        <w:pStyle w:val="Heading2"/>
        <w:spacing w:after="160" w:before="280"/>
      </w:pPr>
      <w:r>
        <w:rPr>
          <w:rFonts w:ascii="Arial" w:cs="Arial" w:eastAsia="Arial" w:hAnsi="Arial"/>
          <w:b/>
          <w:bCs/>
          <w:color w:val="2E8B8B"/>
          <w:sz w:val="26"/>
          <w:szCs w:val="26"/>
        </w:rPr>
        <w:t xml:space="preserve">Our Competitive Advantages</w:t>
      </w:r>
    </w:p>
    <w:p>
      <w:pPr>
        <w:pStyle w:val="ListParagraph"/>
        <w:numPr>
          <w:ilvl w:val="0"/>
          <w:numId w:val="2"/>
        </w:numPr>
        <w:spacing w:after="100" w:line="276"/>
      </w:pPr>
      <w:r>
        <w:rPr>
          <w:rFonts w:ascii="Arial" w:cs="Arial" w:eastAsia="Arial" w:hAnsi="Arial"/>
          <w:color w:val="333333"/>
          <w:sz w:val="22"/>
          <w:szCs w:val="22"/>
        </w:rPr>
        <w:t xml:space="preserve">Speed to insight: We can analyze and trade on a new market within minutes, while human forecasters may take hours or days.</w:t>
      </w:r>
    </w:p>
    <w:p>
      <w:pPr>
        <w:pStyle w:val="ListParagraph"/>
        <w:numPr>
          <w:ilvl w:val="0"/>
          <w:numId w:val="2"/>
        </w:numPr>
        <w:spacing w:after="100" w:line="276"/>
      </w:pPr>
      <w:r>
        <w:rPr>
          <w:rFonts w:ascii="Arial" w:cs="Arial" w:eastAsia="Arial" w:hAnsi="Arial"/>
          <w:color w:val="333333"/>
          <w:sz w:val="22"/>
          <w:szCs w:val="22"/>
        </w:rPr>
        <w:t xml:space="preserve">No emotional bias: AI doesn’t suffer from recency bias, anchoring, or political wishful thinking—common pitfalls for human forecasters.</w:t>
      </w:r>
    </w:p>
    <w:p>
      <w:pPr>
        <w:pStyle w:val="ListParagraph"/>
        <w:numPr>
          <w:ilvl w:val="0"/>
          <w:numId w:val="2"/>
        </w:numPr>
        <w:spacing w:after="100" w:line="276"/>
      </w:pPr>
      <w:r>
        <w:rPr>
          <w:rFonts w:ascii="Arial" w:cs="Arial" w:eastAsia="Arial" w:hAnsi="Arial"/>
          <w:color w:val="333333"/>
          <w:sz w:val="22"/>
          <w:szCs w:val="22"/>
        </w:rPr>
        <w:t xml:space="preserve">Scale: We can simultaneously maintain positions across hundreds of markets, diversifying risk in a way no individual trader can.</w:t>
      </w:r>
    </w:p>
    <w:p>
      <w:pPr>
        <w:pStyle w:val="ListParagraph"/>
        <w:numPr>
          <w:ilvl w:val="0"/>
          <w:numId w:val="2"/>
        </w:numPr>
        <w:spacing w:after="100" w:line="276"/>
      </w:pPr>
      <w:r>
        <w:rPr>
          <w:rFonts w:ascii="Arial" w:cs="Arial" w:eastAsia="Arial" w:hAnsi="Arial"/>
          <w:color w:val="333333"/>
          <w:sz w:val="22"/>
          <w:szCs w:val="22"/>
        </w:rPr>
        <w:t xml:space="preserve">Continuous improvement: Every resolved market trains the model further, creating a compounding data advantage over time.</w:t>
      </w:r>
    </w:p>
    <w:p>
      <w:r>
        <w:br w:type="page"/>
      </w:r>
    </w:p>
    <w:p>
      <w:pPr>
        <w:pStyle w:val="Heading1"/>
        <w:spacing w:after="200" w:before="360"/>
      </w:pPr>
      <w:r>
        <w:rPr>
          <w:rFonts w:ascii="Arial" w:cs="Arial" w:eastAsia="Arial" w:hAnsi="Arial"/>
          <w:b/>
          <w:bCs/>
          <w:color w:val="1B2A4A"/>
          <w:sz w:val="32"/>
          <w:szCs w:val="32"/>
        </w:rPr>
        <w:t xml:space="preserve">7. Investment Terms</w:t>
      </w:r>
    </w:p>
    <w:p>
      <w:pPr>
        <w:spacing w:after="160" w:line="276"/>
      </w:pPr>
      <w:r>
        <w:rPr>
          <w:rFonts w:ascii="Arial" w:cs="Arial" w:eastAsia="Arial" w:hAnsi="Arial"/>
          <w:color w:val="333333"/>
          <w:sz w:val="22"/>
          <w:szCs w:val="22"/>
        </w:rPr>
        <w:t xml:space="preserve">Note: The terms below are preliminary and provided for discussion purposes. Final terms will be documented in a formal investment agreement reviewed by legal counsel.</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Fund Structure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[To be determined—e.g., LLC, LP, or SAFE note]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Minimum Investment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[Suggested: $5,000–$25,000, depending on your situation]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Target Fund Size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[To be determined—e.g., $100K–$500K initial raise]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Management Fee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 be determined—e.g., 1–2% annually]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Performance Fee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[To be determined—e.g., 20% of profits above a hurdle rate]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Lock-Up Period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 be determined—e.g., 6–12 months]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Reporting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Monthly performance updates; quarterly detailed reports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Redemption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 be determined—e.g., quarterly with 30-day notice]</w:t>
            </w:r>
          </w:p>
        </w:tc>
      </w:tr>
    </w:tbl>
    <w:p>
      <w:pPr>
        <w:spacing w:after="0" w:before="200"/>
      </w:pPr>
    </w:p>
    <w:p>
      <w:pPr>
        <w:spacing w:after="160" w:line="276"/>
      </w:pPr>
      <w:r>
        <w:rPr>
          <w:rFonts w:ascii="Arial" w:cs="Arial" w:eastAsia="Arial" w:hAnsi="Arial"/>
          <w:i/>
          <w:iCs/>
          <w:color w:val="333333"/>
          <w:sz w:val="22"/>
          <w:szCs w:val="22"/>
        </w:rPr>
        <w:t xml:space="preserve">Important: I want to emphasize that this is a friends-and-family round, and I am committed to terms that are fair and transparent. I am open to discussion on any of the above. My priority is building a track record and proving the concept, not maximizing fees.</w:t>
      </w:r>
    </w:p>
    <w:p>
      <w:r>
        <w:br w:type="page"/>
      </w:r>
    </w:p>
    <w:p>
      <w:pPr>
        <w:pStyle w:val="Heading1"/>
        <w:spacing w:after="200" w:before="360"/>
      </w:pPr>
      <w:r>
        <w:rPr>
          <w:rFonts w:ascii="Arial" w:cs="Arial" w:eastAsia="Arial" w:hAnsi="Arial"/>
          <w:b/>
          <w:bCs/>
          <w:color w:val="1B2A4A"/>
          <w:sz w:val="32"/>
          <w:szCs w:val="32"/>
        </w:rPr>
        <w:t xml:space="preserve">8. Frequently Asked Questions</w:t>
      </w:r>
    </w:p>
    <w:p>
      <w:pPr>
        <w:pStyle w:val="Heading2"/>
        <w:spacing w:after="160" w:before="280"/>
      </w:pPr>
      <w:r>
        <w:rPr>
          <w:rFonts w:ascii="Arial" w:cs="Arial" w:eastAsia="Arial" w:hAnsi="Arial"/>
          <w:b/>
          <w:bCs/>
          <w:color w:val="2E8B8B"/>
          <w:sz w:val="26"/>
          <w:szCs w:val="26"/>
        </w:rPr>
        <w:t xml:space="preserve">General Questions</w:t>
      </w:r>
    </w:p>
    <w:p>
      <w:pPr>
        <w:spacing w:after="160" w:line="276"/>
      </w:pPr>
      <w:r>
        <w:rPr>
          <w:rFonts w:ascii="Arial" w:cs="Arial" w:eastAsia="Arial" w:hAnsi="Arial"/>
          <w:b/>
          <w:bCs/>
          <w:color w:val="333333"/>
          <w:sz w:val="22"/>
          <w:szCs w:val="22"/>
        </w:rPr>
        <w:t xml:space="preserve">Q: How is this different from sports betting or gambling?</w:t>
      </w:r>
    </w:p>
    <w:p>
      <w:pPr>
        <w:spacing w:after="160" w:line="276"/>
      </w:pPr>
      <w:r>
        <w:rPr>
          <w:rFonts w:ascii="Arial" w:cs="Arial" w:eastAsia="Arial" w:hAnsi="Arial"/>
          <w:color w:val="333333"/>
          <w:sz w:val="22"/>
          <w:szCs w:val="22"/>
        </w:rPr>
        <w:t xml:space="preserve">A: Great question. Gambling relies on luck or entertainment. What we do is closer to actuarial science or quantitative finance. Our AI analyzes data to find situations where the market’s probability estimate is wrong, then trades on that information. The key difference is that we have a measurable, statistical edge—the 64.9% win rate and calibrated Brier score prove the AI is systematically better than chance. A gambler hopes to win; we have mathematical reason to believe we will, on average, over many trades.</w:t>
      </w:r>
    </w:p>
    <w:p>
      <w:pPr>
        <w:spacing w:after="160" w:line="276"/>
      </w:pPr>
      <w:r>
        <w:rPr>
          <w:rFonts w:ascii="Arial" w:cs="Arial" w:eastAsia="Arial" w:hAnsi="Arial"/>
          <w:b/>
          <w:bCs/>
          <w:color w:val="333333"/>
          <w:sz w:val="22"/>
          <w:szCs w:val="22"/>
        </w:rPr>
        <w:t xml:space="preserve">Q: Why prediction markets and not stocks?</w:t>
      </w:r>
    </w:p>
    <w:p>
      <w:pPr>
        <w:spacing w:after="160" w:line="276"/>
      </w:pPr>
      <w:r>
        <w:rPr>
          <w:rFonts w:ascii="Arial" w:cs="Arial" w:eastAsia="Arial" w:hAnsi="Arial"/>
          <w:color w:val="333333"/>
          <w:sz w:val="22"/>
          <w:szCs w:val="22"/>
        </w:rPr>
        <w:t xml:space="preserve">A: Prediction markets are far less efficient than stock markets. The stock market has had algorithmic traders for decades and is extremely competitive. Prediction markets are still young—most participants are retail traders relying on intuition. This creates more mispricing opportunities. As these markets mature, the edge may shrink, but right now the window of opportunity is wide open.</w:t>
      </w:r>
    </w:p>
    <w:p>
      <w:pPr>
        <w:spacing w:after="160" w:line="276"/>
      </w:pPr>
      <w:r>
        <w:rPr>
          <w:rFonts w:ascii="Arial" w:cs="Arial" w:eastAsia="Arial" w:hAnsi="Arial"/>
          <w:b/>
          <w:bCs/>
          <w:color w:val="333333"/>
          <w:sz w:val="22"/>
          <w:szCs w:val="22"/>
        </w:rPr>
        <w:t xml:space="preserve">Q: What happens if you’re wrong on a trade?</w:t>
      </w:r>
    </w:p>
    <w:p>
      <w:pPr>
        <w:spacing w:after="160" w:line="276"/>
      </w:pPr>
      <w:r>
        <w:rPr>
          <w:rFonts w:ascii="Arial" w:cs="Arial" w:eastAsia="Arial" w:hAnsi="Arial"/>
          <w:color w:val="333333"/>
          <w:sz w:val="22"/>
          <w:szCs w:val="22"/>
        </w:rPr>
        <w:t xml:space="preserve">A: We lose the invested amount for that contract (up to $2 in our standard sizing). This is expected and built into the model. With a 64.9% win rate, we expect to lose roughly 35 out of every 100 trades. The key is that our wins generate more profit than our losses cost. Position sizing ensures no single loss is significant relative to the total fund.</w:t>
      </w:r>
    </w:p>
    <w:p>
      <w:pPr>
        <w:pStyle w:val="Heading2"/>
        <w:spacing w:after="160" w:before="280"/>
      </w:pPr>
      <w:r>
        <w:rPr>
          <w:rFonts w:ascii="Arial" w:cs="Arial" w:eastAsia="Arial" w:hAnsi="Arial"/>
          <w:b/>
          <w:bCs/>
          <w:color w:val="2E8B8B"/>
          <w:sz w:val="26"/>
          <w:szCs w:val="26"/>
        </w:rPr>
        <w:t xml:space="preserve">Performance Questions</w:t>
      </w:r>
    </w:p>
    <w:p>
      <w:pPr>
        <w:spacing w:after="160" w:line="276"/>
      </w:pPr>
      <w:r>
        <w:rPr>
          <w:rFonts w:ascii="Arial" w:cs="Arial" w:eastAsia="Arial" w:hAnsi="Arial"/>
          <w:b/>
          <w:bCs/>
          <w:color w:val="333333"/>
          <w:sz w:val="22"/>
          <w:szCs w:val="22"/>
        </w:rPr>
        <w:t xml:space="preserve">Q: How do I know the backtested results are real?</w:t>
      </w:r>
    </w:p>
    <w:p>
      <w:pPr>
        <w:spacing w:after="160" w:line="276"/>
      </w:pPr>
      <w:r>
        <w:rPr>
          <w:rFonts w:ascii="Arial" w:cs="Arial" w:eastAsia="Arial" w:hAnsi="Arial"/>
          <w:color w:val="333333"/>
          <w:sz w:val="22"/>
          <w:szCs w:val="22"/>
        </w:rPr>
        <w:t xml:space="preserve">A: All backtesting data comes from publicly verifiable, resolved prediction markets. We can provide the complete list of 532 markets, our model’s predictions, and the actual outcomes for independent verification. Additionally, we are beginning live paper trading to validate these results in real time.</w:t>
      </w:r>
    </w:p>
    <w:p>
      <w:pPr>
        <w:spacing w:after="160" w:line="276"/>
      </w:pPr>
      <w:r>
        <w:rPr>
          <w:rFonts w:ascii="Arial" w:cs="Arial" w:eastAsia="Arial" w:hAnsi="Arial"/>
          <w:b/>
          <w:bCs/>
          <w:color w:val="333333"/>
          <w:sz w:val="22"/>
          <w:szCs w:val="22"/>
        </w:rPr>
        <w:t xml:space="preserve">Q: The projected returns seem very high. Are they realistic?</w:t>
      </w:r>
    </w:p>
    <w:p>
      <w:pPr>
        <w:spacing w:after="160" w:line="276"/>
      </w:pPr>
      <w:r>
        <w:rPr>
          <w:rFonts w:ascii="Arial" w:cs="Arial" w:eastAsia="Arial" w:hAnsi="Arial"/>
          <w:color w:val="333333"/>
          <w:sz w:val="22"/>
          <w:szCs w:val="22"/>
        </w:rPr>
        <w:t xml:space="preserve">A: It’s a fair concern. The 128–469% range is wide precisely because there is genuine uncertainty. The conservative end (128%) assumes significant friction and limited trading. The aggressive end assumes ideal conditions. We recommend planning around the conservative estimate or even lower for your first year. Prediction markets do have structural features that allow high returns relative to traditional investing—binary outcomes, frequent resolution, and significant mispricing—but they also carry higher risk.</w:t>
      </w:r>
    </w:p>
    <w:p>
      <w:pPr>
        <w:spacing w:after="160" w:line="276"/>
      </w:pPr>
      <w:r>
        <w:rPr>
          <w:rFonts w:ascii="Arial" w:cs="Arial" w:eastAsia="Arial" w:hAnsi="Arial"/>
          <w:b/>
          <w:bCs/>
          <w:color w:val="333333"/>
          <w:sz w:val="22"/>
          <w:szCs w:val="22"/>
        </w:rPr>
        <w:t xml:space="preserve">Q: What’s a Brier score? Why should I care?</w:t>
      </w:r>
    </w:p>
    <w:p>
      <w:pPr>
        <w:spacing w:after="160" w:line="276"/>
      </w:pPr>
      <w:r>
        <w:rPr>
          <w:rFonts w:ascii="Arial" w:cs="Arial" w:eastAsia="Arial" w:hAnsi="Arial"/>
          <w:color w:val="333333"/>
          <w:sz w:val="22"/>
          <w:szCs w:val="22"/>
        </w:rPr>
        <w:t xml:space="preserve">A: A Brier score measures how good a forecaster is at assigning probabilities. Imagine a weather forecaster who says “70% chance of rain” every day. If it actually rains 70% of the days they made that prediction, they’re well-calibrated (low Brier score). Our score of 0.239 means our AI is well-calibrated—it doesn’t just predict outcomes correctly, it accurately quantifies how confident to be. This matters because good calibration means we’re not fooling ourselves about our edge.</w:t>
      </w:r>
    </w:p>
    <w:p>
      <w:pPr>
        <w:pStyle w:val="Heading2"/>
        <w:spacing w:after="160" w:before="280"/>
      </w:pPr>
      <w:r>
        <w:rPr>
          <w:rFonts w:ascii="Arial" w:cs="Arial" w:eastAsia="Arial" w:hAnsi="Arial"/>
          <w:b/>
          <w:bCs/>
          <w:color w:val="2E8B8B"/>
          <w:sz w:val="26"/>
          <w:szCs w:val="26"/>
        </w:rPr>
        <w:t xml:space="preserve">Risk &amp; Money Questions</w:t>
      </w:r>
    </w:p>
    <w:p>
      <w:pPr>
        <w:spacing w:after="160" w:line="276"/>
      </w:pPr>
      <w:r>
        <w:rPr>
          <w:rFonts w:ascii="Arial" w:cs="Arial" w:eastAsia="Arial" w:hAnsi="Arial"/>
          <w:b/>
          <w:bCs/>
          <w:color w:val="333333"/>
          <w:sz w:val="22"/>
          <w:szCs w:val="22"/>
        </w:rPr>
        <w:t xml:space="preserve">Q: Could I lose all my money?</w:t>
      </w:r>
    </w:p>
    <w:p>
      <w:pPr>
        <w:spacing w:after="160" w:line="276"/>
      </w:pPr>
      <w:r>
        <w:rPr>
          <w:rFonts w:ascii="Arial" w:cs="Arial" w:eastAsia="Arial" w:hAnsi="Arial"/>
          <w:color w:val="333333"/>
          <w:sz w:val="22"/>
          <w:szCs w:val="22"/>
        </w:rPr>
        <w:t xml:space="preserve">A: In theory, yes—this is a high-risk investment and you should only invest what you can afford to lose entirely. In practice, a total loss would require an extended period of losses far worse than anything in our backtesting, combined with a failure of all risk management safeguards. Our position sizing is designed so that even a historically bad losing streak would result in a drawdown of 15–25%, not a total loss. But I want to be clear: there are no guarantees.</w:t>
      </w:r>
    </w:p>
    <w:p>
      <w:pPr>
        <w:spacing w:after="160" w:line="276"/>
      </w:pPr>
      <w:r>
        <w:rPr>
          <w:rFonts w:ascii="Arial" w:cs="Arial" w:eastAsia="Arial" w:hAnsi="Arial"/>
          <w:b/>
          <w:bCs/>
          <w:color w:val="333333"/>
          <w:sz w:val="22"/>
          <w:szCs w:val="22"/>
        </w:rPr>
        <w:t xml:space="preserve">Q: How liquid is my investment? Can I get my money back?</w:t>
      </w:r>
    </w:p>
    <w:p>
      <w:pPr>
        <w:spacing w:after="160" w:line="276"/>
      </w:pPr>
      <w:r>
        <w:rPr>
          <w:rFonts w:ascii="Arial" w:cs="Arial" w:eastAsia="Arial" w:hAnsi="Arial"/>
          <w:color w:val="333333"/>
          <w:sz w:val="22"/>
          <w:szCs w:val="22"/>
        </w:rPr>
        <w:t xml:space="preserve">A: Redemption terms will be defined in the investment agreement. We anticipate quarterly redemption windows with 30-day notice. Because some prediction markets take weeks or months to resolve, instant liquidity is not possible—we need time to unwind positions in an orderly way.</w:t>
      </w:r>
    </w:p>
    <w:p>
      <w:pPr>
        <w:spacing w:after="160" w:line="276"/>
      </w:pPr>
      <w:r>
        <w:rPr>
          <w:rFonts w:ascii="Arial" w:cs="Arial" w:eastAsia="Arial" w:hAnsi="Arial"/>
          <w:b/>
          <w:bCs/>
          <w:color w:val="333333"/>
          <w:sz w:val="22"/>
          <w:szCs w:val="22"/>
        </w:rPr>
        <w:t xml:space="preserve">Q: How do you handle taxes?</w:t>
      </w:r>
    </w:p>
    <w:p>
      <w:pPr>
        <w:spacing w:after="160" w:line="276"/>
      </w:pPr>
      <w:r>
        <w:rPr>
          <w:rFonts w:ascii="Arial" w:cs="Arial" w:eastAsia="Arial" w:hAnsi="Arial"/>
          <w:color w:val="333333"/>
          <w:sz w:val="22"/>
          <w:szCs w:val="22"/>
        </w:rPr>
        <w:t xml:space="preserve">A: Prediction market tax treatment varies by jurisdiction. We recommend consulting your tax advisor. We will provide annual statements documenting all trades, gains, and losses to simplify your tax reporting.</w:t>
      </w:r>
    </w:p>
    <w:p>
      <w:r>
        <w:br w:type="page"/>
      </w:r>
    </w:p>
    <w:p>
      <w:pPr>
        <w:pStyle w:val="Heading1"/>
        <w:spacing w:after="200" w:before="360"/>
      </w:pPr>
      <w:r>
        <w:rPr>
          <w:rFonts w:ascii="Arial" w:cs="Arial" w:eastAsia="Arial" w:hAnsi="Arial"/>
          <w:b/>
          <w:bCs/>
          <w:color w:val="1B2A4A"/>
          <w:sz w:val="32"/>
          <w:szCs w:val="32"/>
        </w:rPr>
        <w:t xml:space="preserve">9. Appendix: Technical Details</w:t>
      </w:r>
    </w:p>
    <w:p>
      <w:pPr>
        <w:spacing w:after="160" w:line="276"/>
      </w:pPr>
      <w:r>
        <w:rPr>
          <w:rFonts w:ascii="Arial" w:cs="Arial" w:eastAsia="Arial" w:hAnsi="Arial"/>
          <w:color w:val="333333"/>
          <w:sz w:val="22"/>
          <w:szCs w:val="22"/>
        </w:rPr>
        <w:t xml:space="preserve">This section provides additional detail for investors who want a deeper understanding of the methodology.</w:t>
      </w:r>
    </w:p>
    <w:p>
      <w:pPr>
        <w:pStyle w:val="Heading2"/>
        <w:spacing w:after="160" w:before="280"/>
      </w:pPr>
      <w:r>
        <w:rPr>
          <w:rFonts w:ascii="Arial" w:cs="Arial" w:eastAsia="Arial" w:hAnsi="Arial"/>
          <w:b/>
          <w:bCs/>
          <w:color w:val="2E8B8B"/>
          <w:sz w:val="26"/>
          <w:szCs w:val="26"/>
        </w:rPr>
        <w:t xml:space="preserve">Model Architecture</w:t>
      </w:r>
    </w:p>
    <w:p>
      <w:pPr>
        <w:pStyle w:val="ListParagraph"/>
        <w:numPr>
          <w:ilvl w:val="0"/>
          <w:numId w:val="2"/>
        </w:numPr>
        <w:spacing w:after="100" w:line="276"/>
      </w:pPr>
      <w:r>
        <w:rPr>
          <w:rFonts w:ascii="Arial" w:cs="Arial" w:eastAsia="Arial" w:hAnsi="Arial"/>
          <w:color w:val="333333"/>
          <w:sz w:val="22"/>
          <w:szCs w:val="22"/>
        </w:rPr>
        <w:t xml:space="preserve">Primary model: Claude (Anthropic) – used for long-form reasoning and contextual analysis.</w:t>
      </w:r>
    </w:p>
    <w:p>
      <w:pPr>
        <w:pStyle w:val="ListParagraph"/>
        <w:numPr>
          <w:ilvl w:val="0"/>
          <w:numId w:val="2"/>
        </w:numPr>
        <w:spacing w:after="100" w:line="276"/>
      </w:pPr>
      <w:r>
        <w:rPr>
          <w:rFonts w:ascii="Arial" w:cs="Arial" w:eastAsia="Arial" w:hAnsi="Arial"/>
          <w:color w:val="333333"/>
          <w:sz w:val="22"/>
          <w:szCs w:val="22"/>
        </w:rPr>
        <w:t xml:space="preserve">Ensemble models: Multiple frontier LLMs, each queried independently for probability estimates.</w:t>
      </w:r>
    </w:p>
    <w:p>
      <w:pPr>
        <w:pStyle w:val="ListParagraph"/>
        <w:numPr>
          <w:ilvl w:val="0"/>
          <w:numId w:val="2"/>
        </w:numPr>
        <w:spacing w:after="100" w:line="276"/>
      </w:pPr>
      <w:r>
        <w:rPr>
          <w:rFonts w:ascii="Arial" w:cs="Arial" w:eastAsia="Arial" w:hAnsi="Arial"/>
          <w:color w:val="333333"/>
          <w:sz w:val="22"/>
          <w:szCs w:val="22"/>
        </w:rPr>
        <w:t xml:space="preserve">Aggregation method: Weighted average with historical accuracy weighting per model, per category.</w:t>
      </w:r>
    </w:p>
    <w:p>
      <w:pPr>
        <w:pStyle w:val="ListParagraph"/>
        <w:numPr>
          <w:ilvl w:val="0"/>
          <w:numId w:val="2"/>
        </w:numPr>
        <w:spacing w:after="100" w:line="276"/>
      </w:pPr>
      <w:r>
        <w:rPr>
          <w:rFonts w:ascii="Arial" w:cs="Arial" w:eastAsia="Arial" w:hAnsi="Arial"/>
          <w:color w:val="333333"/>
          <w:sz w:val="22"/>
          <w:szCs w:val="22"/>
        </w:rPr>
        <w:t xml:space="preserve">Calibration method: Platt scaling applied post-aggregation to correct systematic bias.</w:t>
      </w:r>
    </w:p>
    <w:p>
      <w:pPr>
        <w:pStyle w:val="Heading2"/>
        <w:spacing w:after="160" w:before="280"/>
      </w:pPr>
      <w:r>
        <w:rPr>
          <w:rFonts w:ascii="Arial" w:cs="Arial" w:eastAsia="Arial" w:hAnsi="Arial"/>
          <w:b/>
          <w:bCs/>
          <w:color w:val="2E8B8B"/>
          <w:sz w:val="26"/>
          <w:szCs w:val="26"/>
        </w:rPr>
        <w:t xml:space="preserve">Key Technical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Benchmark</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Total markets backtested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532</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Win rate (binary accuracy)</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64.9%</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&gt;55% is strong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Average P&amp;L per $2 trade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+$0.60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&gt;$0 is profitable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Brier score (calibration)</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0.239</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&lt;0.25 is well-calibrated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Sharpe ratio (estimated)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[TBD]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&gt;1.0 is good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Maximum drawdown (backtest)</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[TBD]</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Lower is better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Average holding period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[TBD]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Markets per month (avg)</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[TBD]</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bl>
    <w:p>
      <w:pPr>
        <w:pStyle w:val="Heading2"/>
        <w:spacing w:after="160" w:before="280"/>
      </w:pPr>
      <w:r>
        <w:rPr>
          <w:rFonts w:ascii="Arial" w:cs="Arial" w:eastAsia="Arial" w:hAnsi="Arial"/>
          <w:b/>
          <w:bCs/>
          <w:color w:val="2E8B8B"/>
          <w:sz w:val="26"/>
          <w:szCs w:val="26"/>
        </w:rPr>
        <w:t xml:space="preserve">Backtesting Methodology</w:t>
      </w:r>
    </w:p>
    <w:p>
      <w:pPr>
        <w:spacing w:after="160" w:line="276"/>
      </w:pPr>
      <w:r>
        <w:rPr>
          <w:rFonts w:ascii="Arial" w:cs="Arial" w:eastAsia="Arial" w:hAnsi="Arial"/>
          <w:color w:val="333333"/>
          <w:sz w:val="22"/>
          <w:szCs w:val="22"/>
        </w:rPr>
        <w:t xml:space="preserve">All backtests were conducted on resolved markets from [platform names]. The methodology uses a walk-forward approach: for each market, the AI only had access to information that would have been available at the time of the trade. No future information was used. Markets with insufficient liquidity (below [threshold]) were excluded.</w:t>
      </w:r>
    </w:p>
    <w:p>
      <w:pPr>
        <w:pStyle w:val="Heading2"/>
        <w:spacing w:after="160" w:before="280"/>
      </w:pPr>
      <w:r>
        <w:rPr>
          <w:rFonts w:ascii="Arial" w:cs="Arial" w:eastAsia="Arial" w:hAnsi="Arial"/>
          <w:b/>
          <w:bCs/>
          <w:color w:val="2E8B8B"/>
          <w:sz w:val="26"/>
          <w:szCs w:val="26"/>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Prediction Market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marketplace where contracts are bought and sold based on the outcomes of future events.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Brier Score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 measure of the accuracy of probabilistic predictions, ranging from 0 (perfect) to 1 (worst). Lower is better.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Kelly Criterion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mathematical formula for determining optimal bet size based on edge and odds.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Ensemble Model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 system that combines predictions from multiple AI models to produce a more reliable estimate.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Calibration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How well predicted probabilities match actual outcome frequencies. Well-calibrated means “70% predictions” happen about 70% of the time.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Drawdown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decline from a peak value to a trough. Measures the worst-case losing period.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ARR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Annualized Rate of Return – the yearly return an investment would produce if current performance continued.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Backtesting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Testing a trading strategy on historical data to evaluate how it would have performed.</w:t>
            </w:r>
          </w:p>
        </w:tc>
      </w:tr>
    </w:tbl>
    <w:p>
      <w:pPr>
        <w:spacing w:after="0" w:before="400"/>
      </w:pPr>
    </w:p>
    <w:p>
      <w:pPr>
        <w:pBdr>
          <w:top w:val="single" w:color="1B2A4A" w:sz="6" w:space="1"/>
        </w:pBdr>
        <w:spacing w:after="100" w:before="400"/>
      </w:pPr>
    </w:p>
    <w:p>
      <w:pPr>
        <w:spacing w:after="80"/>
        <w:jc w:val="center"/>
      </w:pPr>
      <w:r>
        <w:rPr>
          <w:rFonts w:ascii="Arial" w:cs="Arial" w:eastAsia="Arial" w:hAnsi="Arial"/>
          <w:b/>
          <w:bCs/>
          <w:color w:val="C0392B"/>
          <w:sz w:val="18"/>
          <w:szCs w:val="18"/>
        </w:rPr>
        <w:t xml:space="preserve">DISCLAIMER</w:t>
      </w:r>
    </w:p>
    <w:p>
      <w:pPr>
        <w:spacing w:after="80"/>
        <w:jc w:val="center"/>
      </w:pPr>
      <w:r>
        <w:rPr>
          <w:rFonts w:ascii="Arial" w:cs="Arial" w:eastAsia="Arial" w:hAnsi="Arial"/>
          <w:i/>
          <w:iCs/>
          <w:color w:val="666666"/>
          <w:sz w:val="16"/>
          <w:szCs w:val="16"/>
        </w:rPr>
        <w:t xml:space="preserve">This document is for informational purposes only and does not constitute an offer to sell or a solicitation of an offer to buy any securities. Past performance, including backtested performance, is not indicative of future results. All investments involve risk, including the possible loss of principal. The projected returns are hypothetical and based on backtested data. Actual results may differ materially. Consult your legal, tax, and financial advisors before making any investment decision.</w:t>
      </w:r>
    </w:p>
    <w:p>
      <w:r>
        <w:br w:type="page"/>
      </w:r>
    </w:p>
    <w:p>
      <w:pPr>
        <w:pStyle w:val="Heading1"/>
        <w:spacing w:after="200" w:before="360"/>
      </w:pPr>
      <w:r>
        <w:rPr>
          <w:rFonts w:ascii="Arial" w:cs="Arial" w:eastAsia="Arial" w:hAnsi="Arial"/>
          <w:b/>
          <w:bCs/>
          <w:color w:val="1B2A4A"/>
          <w:sz w:val="32"/>
          <w:szCs w:val="32"/>
        </w:rPr>
        <w:t xml:space="preserve">Addendum: Suggested Google Drive Folder Structure</w:t>
      </w:r>
    </w:p>
    <w:p>
      <w:pPr>
        <w:spacing w:after="160" w:line="276"/>
      </w:pPr>
      <w:r>
        <w:rPr>
          <w:rFonts w:ascii="Arial" w:cs="Arial" w:eastAsia="Arial" w:hAnsi="Arial"/>
          <w:color w:val="333333"/>
          <w:sz w:val="22"/>
          <w:szCs w:val="22"/>
        </w:rPr>
        <w:t xml:space="preserve">Below is a recommended folder structure for organizing all investor-facing materials in a shared Google Drive: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Folder / File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 [Fund Name] – Investor Portal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Root folder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  📁 01 – Overview</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This report, one-pager summary, fund overview deck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 02 – Legal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Investment agreement, subscription docs, disclosures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  📁 03 – Performance Reports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Monthly updates, quarterly reports, charts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 04 – Backtesting Data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backtest dataset, methodology docs, raw data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  📁 05 – Due Diligence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Team bios, technology overview, security practices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 06 – FAQ &amp; Resources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FAQ doc, glossary, educational materials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  📁 07 – Tax &amp; Admin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Annual statements, K-1s, tax guidance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66666"/>
        <w:sz w:val="14"/>
        <w:szCs w:val="14"/>
      </w:rPr>
      <w:t xml:space="preserve">Confidential – For Intended Recipients Only</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[Fund Name]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B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2026-03-05T20:46:40.307Z</dcterms:created>
  <dcterms:modified xsi:type="dcterms:W3CDTF">2026-03-05T20:46:40.307Z</dcterms:modified>
</cp:coreProperties>
</file>

<file path=docProps/custom.xml><?xml version="1.0" encoding="utf-8"?>
<Properties xmlns="http://schemas.openxmlformats.org/officeDocument/2006/custom-properties" xmlns:vt="http://schemas.openxmlformats.org/officeDocument/2006/docPropsVTypes"/>
</file>