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Calibration Correction Impact Analysis</w:t>
      </w:r>
    </w:p>
    <w:p>
      <w:pPr>
        <w:spacing w:after="6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Polymarket Trading Bot — Priority: P0</w:t>
      </w:r>
    </w:p>
    <w:p>
      <w:pPr>
        <w:pBdr>
          <w:bottom w:val="single" w:color="1F4E79" w:sz="8" w:space="8"/>
        </w:pBdr>
        <w:spacing w:after="3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Prepared: 2026-03-05  |  Data: 532 resolved markets backtest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single highest-ROI improvement available is deploying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calibration correction function</w:t>
      </w:r>
      <w:r>
        <w:rPr>
          <w:rFonts w:ascii="Arial" w:cs="Arial" w:eastAsia="Arial" w:hAnsi="Arial"/>
          <w:sz w:val="22"/>
          <w:szCs w:val="22"/>
        </w:rPr>
        <w:t xml:space="preserve"> on Claude’s probability estimates. Our backtest of 532 resolved Polymarket markets reveals that Claude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systematically overconfident</w:t>
      </w:r>
      <w:r>
        <w:rPr>
          <w:rFonts w:ascii="Arial" w:cs="Arial" w:eastAsia="Arial" w:hAnsi="Arial"/>
          <w:sz w:val="22"/>
          <w:szCs w:val="22"/>
        </w:rPr>
        <w:t xml:space="preserve"> when predicting YES outcomes: estimates of 90%+ correspond to only 63% actual resolution. The raw Brier score of 0.239 is barely above the 0.25 random baseline.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Despite this, the current strategy is profitable (64.9% win rate) because the 5% edge threshold filters for directional accuracy. However, a calibration fix would unlock an estimated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+30–50% improvement in annualized returns</w:t>
      </w:r>
      <w:r>
        <w:rPr>
          <w:rFonts w:ascii="Arial" w:cs="Arial" w:eastAsia="Arial" w:hAnsi="Arial"/>
          <w:sz w:val="22"/>
          <w:szCs w:val="22"/>
        </w:rPr>
        <w:t xml:space="preserve"> across all capital levels. At $10,000 deployed capital, this translates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+$55,680/year</w:t>
      </w:r>
      <w:r>
        <w:rPr>
          <w:rFonts w:ascii="Arial" w:cs="Arial" w:eastAsia="Arial" w:hAnsi="Arial"/>
          <w:sz w:val="22"/>
          <w:szCs w:val="22"/>
        </w:rPr>
        <w:t xml:space="preserve"> in additional net profit from a 2–4 hour implementation effort.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Calibration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Claude’s raw probability estimates diverge significantly from observed outcomes, particularly in the high-confidence YES range. The table below summarizes the calibration error across 532 resolved binary markets: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500"/>
        <w:gridCol w:w="1500"/>
        <w:gridCol w:w="3660"/>
      </w:tblGrid>
      <w:tr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Estimate</w:t>
            </w:r>
          </w:p>
        </w:tc>
        <w:tc>
          <w:tcPr>
            <w:tcW w:type="dxa" w:w="11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Markets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YES%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Cal. Error</w:t>
            </w:r>
          </w:p>
        </w:tc>
        <w:tc>
          <w:tcPr>
            <w:tcW w:type="dxa" w:w="36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90-100%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-31.8%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Severe overconfidence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80-90%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-21.8%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Severe overconfidence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70-80%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-22.2%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Severe overconfidence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-19.5%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overconfidence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50-60%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-8.4%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40-50%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-3.3%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Well calibrated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20-30%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-3.0%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Well calibrated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10-20%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-3.0%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Well calibrated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0-10%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+10.7%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Underconfident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pattern is clear: Claude’s estimates above 60% are unreliable. When Claude says 90%+, the actual YES rate is only 63.2%—a 31.8 percentage point error. This overconfidence on YES trades directly costs money: the buy-YES win rate is only 55.8% compared to 76.2% for buy-NO trades. Every uncorrected YES trade at inflated confidence is money left on the table.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Three-Scenario Financial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scenarios use the same position sizing methodology: 2.67% of capital per trade (matching the current $2/$75 baseline). Infrastructure costs held constant at $20/month.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Comparison: $75 Capital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Baseline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Calibrated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Cal+Select</w:t>
            </w:r>
          </w:p>
        </w:tc>
        <w:tc>
          <w:tcPr>
            <w:tcW w:type="dxa" w:w="1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 vs A Delta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83.1%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+8.1pp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Edge/Trade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66.2%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+16.2pp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Trades/Day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P&amp;L/Trade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$1.32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+$0.32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$99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+$35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$833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$1190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+$417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264.4%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397.0%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377.8%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+132.6pp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Comparison: $1,000 Capital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Baseline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Calibrated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Cal+Select</w:t>
            </w:r>
          </w:p>
        </w:tc>
        <w:tc>
          <w:tcPr>
            <w:tcW w:type="dxa" w:w="1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 vs A Delta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83.1%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+8.1pp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Edge/Trade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66.2%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+16.2pp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Trades/Day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P&amp;L/Trade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$7.95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$12.27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$17.65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+$4.32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$1172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$1636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$1569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+$464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$14064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$19632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$18826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+$5568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1134.2%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1583.2%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1518.2%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+449.0pp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Comparison: $10,000 Capital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Baseline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Calibrated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Cal+Select</w:t>
            </w:r>
          </w:p>
        </w:tc>
        <w:tc>
          <w:tcPr>
            <w:tcW w:type="dxa" w:w="1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 vs A Delta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83.1%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+8.1pp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Edge/Trade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66.2%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+16.2pp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Trades/Day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P&amp;L/Trade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$79.47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$122.67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$176.53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+$43.20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$11900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$16540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$15868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+$4640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$142800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$198480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$190416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+$55680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1394.5%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1938.3%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1859.5%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+543.8pp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Money Left on the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below isolates the incremental value of deploying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calibration correction alone</w:t>
      </w:r>
      <w:r>
        <w:rPr>
          <w:rFonts w:ascii="Arial" w:cs="Arial" w:eastAsia="Arial" w:hAnsi="Arial"/>
          <w:sz w:val="22"/>
          <w:szCs w:val="22"/>
        </w:rPr>
        <w:t xml:space="preserve"> (Scenario B vs. A)—the simplest, highest-impact fix: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Level</w:t>
            </w:r>
          </w:p>
        </w:tc>
        <w:tc>
          <w:tcPr>
            <w:tcW w:type="dxa" w:w="1755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Monthly Net</w:t>
            </w:r>
          </w:p>
        </w:tc>
        <w:tc>
          <w:tcPr>
            <w:tcW w:type="dxa" w:w="1755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Monthly Net</w:t>
            </w:r>
          </w:p>
        </w:tc>
        <w:tc>
          <w:tcPr>
            <w:tcW w:type="dxa" w:w="1755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 (B-A)</w:t>
            </w:r>
          </w:p>
        </w:tc>
        <w:tc>
          <w:tcPr>
            <w:tcW w:type="dxa" w:w="1755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Delta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$104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1B7A1B"/>
                <w:sz w:val="20"/>
                <w:szCs w:val="20"/>
              </w:rPr>
              <w:t xml:space="preserve">+$35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1B7A1B"/>
                <w:sz w:val="20"/>
                <w:szCs w:val="20"/>
              </w:rPr>
              <w:t xml:space="preserve">+$417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$1172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$1636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1B7A1B"/>
                <w:sz w:val="20"/>
                <w:szCs w:val="20"/>
              </w:rPr>
              <w:t xml:space="preserve">+$464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1B7A1B"/>
                <w:sz w:val="20"/>
                <w:szCs w:val="20"/>
              </w:rPr>
              <w:t xml:space="preserve">+$5,568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$11900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$16540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1B7A1B"/>
                <w:sz w:val="20"/>
                <w:szCs w:val="20"/>
              </w:rPr>
              <w:t xml:space="preserve">+$4,640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1B7A1B"/>
                <w:sz w:val="20"/>
                <w:szCs w:val="20"/>
              </w:rPr>
              <w:t xml:space="preserve">+$55,680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takeaway: </w:t>
      </w:r>
      <w:r>
        <w:rPr>
          <w:rFonts w:ascii="Arial" w:cs="Arial" w:eastAsia="Arial" w:hAnsi="Arial"/>
          <w:sz w:val="22"/>
          <w:szCs w:val="22"/>
        </w:rPr>
        <w:t xml:space="preserve">At $10,000 capital, the calibration fix alone is worth +$55,680 per year. Even at the current $75 level, it adds +$417/year—which more than covers the implementation time.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Implementation: How Calibration Correction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fix is straightforward: fit an isotonic regression model on the 532-market backtest data, mapping Claude’s raw estimates to empirically observed frequencies. At inference time, pass Claude’s output through this function before computing edge. For example, a raw estimate of 85% maps to approximately 60%, which correctly identifies that the market’s 75% price actually has negative edge—avoiding a losing trade the current system would take.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selective filter (Scenario C) adds a second layer: only take trades where the calibrated probability exceeds a confidence threshold, further concentrating capital in the highest-conviction signals.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ROI vs. Roadmap Priorities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Comparing the calibration fix against other items on the development roadmap: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Item</w:t>
            </w:r>
          </w:p>
        </w:tc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Estimate</w:t>
            </w:r>
          </w:p>
        </w:tc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Isotonic calibration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2-4 hours (Python)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+30-50% ARR at all capital levels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Selective confidence 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hours (threshold tuning)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+83.1% win rate (backtest)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Kelly criterion position sizing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4-8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Optimal bankroll growth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NO-bias weighting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hour (parameter change)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Leverages 76% NO win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execution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8-16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Captures real P&amp;L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calibration fix has the highest ROI of any item on the roadmap</w:t>
      </w:r>
      <w:r>
        <w:rPr>
          <w:rFonts w:ascii="Arial" w:cs="Arial" w:eastAsia="Arial" w:hAnsi="Arial"/>
          <w:sz w:val="22"/>
          <w:szCs w:val="22"/>
        </w:rPr>
        <w:t xml:space="preserve">—delivering the largest absolute dollar improvement for the smallest time investment. It should be implemented before Kelly sizing, live execution, or any other enhancement.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Recommendation</w:t>
      </w:r>
    </w:p>
    <w:p>
      <w:pPr>
        <w:pBdr>
          <w:left w:val="single" w:color="1B7A1B" w:sz="12" w:space="8"/>
        </w:pBdr>
        <w:shd w:fill="E8F5E8" w:val="clear"/>
        <w:spacing w:after="200"/>
      </w:pPr>
      <w:r>
        <w:rPr>
          <w:rFonts w:ascii="Arial" w:cs="Arial" w:eastAsia="Arial" w:hAnsi="Arial"/>
          <w:b/>
          <w:bCs/>
          <w:color w:val="1B7A1B"/>
          <w:sz w:val="24"/>
          <w:szCs w:val="24"/>
        </w:rPr>
        <w:t xml:space="preserve">Ship calibration correction immediately. </w:t>
      </w:r>
      <w:r>
        <w:rPr>
          <w:rFonts w:ascii="Arial" w:cs="Arial" w:eastAsia="Arial" w:hAnsi="Arial"/>
          <w:sz w:val="22"/>
          <w:szCs w:val="22"/>
        </w:rPr>
        <w:t xml:space="preserve">It is a 2–4 hour implementation with the largest single alpha improvement available (+30–50% ARR). Deploy to the live paper trading loop, validate over 50+ resolved trades, then scale capital.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Assumptions &amp; Caveats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Win rates are from 532-market backtest. Live performance may differ due to slippage, timing, and market dynamics.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Scenario B (73% WR) is a conservative estimate based on correcting known calibration errors. Actual improvement depends on calibration model quality.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Scenario C (83.1% WR) assumes selective filtering reduces trade volume by ~40%. The trade-off is higher accuracy for fewer trades.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Position sizing scales linearly with capital. At higher capital levels, market liquidity constraints may limit achievable position sizes.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Infrastructure costs held constant at $20/month regardless of capital level.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PRIORITY BRIEF</w:t>
    </w:r>
    <w:r>
      <w:rPr>
        <w:rFonts w:ascii="Arial" w:cs="Arial" w:eastAsia="Arial" w:hAnsi="Arial"/>
        <w:color w:val="888888"/>
        <w:sz w:val="16"/>
        <w:szCs w:val="16"/>
      </w:rPr>
      <w:t xml:space="preserve">	Calibration Fix ROI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2026-03-05T20:54:46.378Z</dcterms:created>
  <dcterms:modified xsi:type="dcterms:W3CDTF">2026-03-05T20:54:46.378Z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