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1B2A4A"/>
          <w:sz w:val="36"/>
          <w:szCs w:val="36"/>
        </w:rPr>
        <w:t xml:space="preserve">Competitive Landscape &amp; Market Analysis</w:t>
      </w:r>
    </w:p>
    <w:p>
      <w:pPr>
        <w:pBdr>
          <w:bottom w:val="single" w:color="2E75B6" w:sz="6" w:space="1"/>
        </w:pBdr>
        <w:spacing w:after="20"/>
      </w:pPr>
      <w:r>
        <w:rPr>
          <w:rFonts w:ascii="Arial" w:cs="Arial" w:eastAsia="Arial" w:hAnsi="Arial"/>
          <w:color w:val="666666"/>
          <w:sz w:val="22"/>
          <w:szCs w:val="22"/>
        </w:rPr>
        <w:t xml:space="preserve">AI Prediction Market Trading Fund — Investor Appendix</w:t>
      </w:r>
    </w:p>
    <w:p>
      <w:pPr>
        <w:spacing w:after="200"/>
      </w:pPr>
      <w:r>
        <w:rPr>
          <w:rFonts w:ascii="Arial" w:cs="Arial" w:eastAsia="Arial" w:hAnsi="Arial"/>
          <w:i/>
          <w:iCs/>
          <w:color w:val="666666"/>
          <w:sz w:val="18"/>
          <w:szCs w:val="18"/>
        </w:rPr>
        <w:t xml:space="preserve">Prepared: March 2026 | Classification: Confidential</w:t>
      </w:r>
    </w:p>
    <w:p>
      <w:pPr>
        <w:pStyle w:val="Heading1"/>
        <w:spacing w:after="160" w:before="300"/>
      </w:pPr>
      <w:r>
        <w:rPr>
          <w:rFonts w:ascii="Arial" w:cs="Arial" w:eastAsia="Arial" w:hAnsi="Arial"/>
          <w:b/>
          <w:bCs/>
          <w:color w:val="1B2A4A"/>
          <w:sz w:val="28"/>
          <w:szCs w:val="28"/>
        </w:rPr>
        <w:t xml:space="preserve">1. Prediction Market Industry Overview</w:t>
      </w:r>
    </w:p>
    <w:p>
      <w:pPr>
        <w:spacing w:after="80" w:before="80" w:line="276"/>
      </w:pPr>
      <w:r>
        <w:rPr>
          <w:rFonts w:ascii="Arial" w:cs="Arial" w:eastAsia="Arial" w:hAnsi="Arial"/>
          <w:sz w:val="22"/>
          <w:szCs w:val="22"/>
        </w:rPr>
        <w:t xml:space="preserve">The prediction market industry reached $44B+ in total notional trading volume in 2025, up from under $1B in 2023. Polymarket ($21.5B) and Kalshi ($17.1B) account for ~85–90% of total volume. Single-day and weekly volume records continue to be broken in early 2026, driven by geopolitical events and sports expansion.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2023</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2024</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2025</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Industry Volume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&lt;$1B</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$44B+</w:t>
            </w:r>
          </w:p>
        </w:tc>
      </w:tr>
      <w:tr>
        <w:tc>
          <w:tcPr>
            <w:tcW w:type="dxa" w:w="2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Polymarket Volume</w:t>
            </w:r>
          </w:p>
        </w:tc>
        <w:tc>
          <w:tcPr>
            <w:tcW w:type="dxa" w:w="2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$300M</w:t>
            </w:r>
          </w:p>
        </w:tc>
        <w:tc>
          <w:tcPr>
            <w:tcW w:type="dxa" w:w="2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~$3B</w:t>
            </w:r>
          </w:p>
        </w:tc>
        <w:tc>
          <w:tcPr>
            <w:tcW w:type="dxa" w:w="2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7AE60"/>
                <w:sz w:val="20"/>
                <w:szCs w:val="20"/>
              </w:rPr>
              <w:t xml:space="preserve">$21.5B</w:t>
            </w:r>
          </w:p>
        </w:tc>
      </w:tr>
      <w:tr>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Kalshi Volume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&lt;$100M</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$17.1B</w:t>
            </w:r>
          </w:p>
        </w:tc>
      </w:tr>
      <w:tr>
        <w:tc>
          <w:tcPr>
            <w:tcW w:type="dxa" w:w="2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Polymarket Valuation</w:t>
            </w:r>
          </w:p>
        </w:tc>
        <w:tc>
          <w:tcPr>
            <w:tcW w:type="dxa" w:w="2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w:t>
            </w:r>
          </w:p>
        </w:tc>
        <w:tc>
          <w:tcPr>
            <w:tcW w:type="dxa" w:w="2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$350M</w:t>
            </w:r>
          </w:p>
        </w:tc>
        <w:tc>
          <w:tcPr>
            <w:tcW w:type="dxa" w:w="24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$1.2B+</w:t>
            </w:r>
          </w:p>
        </w:tc>
      </w:tr>
    </w:tbl>
    <w:p>
      <w:pPr>
        <w:spacing w:before="120"/>
      </w:pPr>
    </w:p>
    <w:p>
      <w:pPr>
        <w:spacing w:after="80" w:before="80" w:line="276"/>
      </w:pPr>
      <w:r>
        <w:rPr>
          <w:rFonts w:ascii="Arial" w:cs="Arial" w:eastAsia="Arial" w:hAnsi="Arial"/>
          <w:b/>
          <w:bCs/>
          <w:sz w:val="22"/>
          <w:szCs w:val="22"/>
        </w:rPr>
        <w:t xml:space="preserve">Regulatory tailwind: </w:t>
      </w:r>
      <w:r>
        <w:rPr>
          <w:rFonts w:ascii="Arial" w:cs="Arial" w:eastAsia="Arial" w:hAnsi="Arial"/>
          <w:sz w:val="22"/>
          <w:szCs w:val="22"/>
        </w:rPr>
        <w:t xml:space="preserve">In November 2025, the CFTC granted Polymarket an Amended Order of Designation after its acquisition of CFTC-licensed QCX. Polymarket relaunched for U.S. residents in late 2025. Kalshi is CFTC-regulated and has integrated with Robinhood, creating a mass-market funnel. DraftKings, FanDuel, and Robinhood have all rolled out prediction market products ahead of the 2026 FIFA World Cup.</w:t>
      </w:r>
    </w:p>
    <w:p>
      <w:pPr>
        <w:pStyle w:val="Heading1"/>
        <w:spacing w:after="160" w:before="300"/>
      </w:pPr>
      <w:r>
        <w:rPr>
          <w:rFonts w:ascii="Arial" w:cs="Arial" w:eastAsia="Arial" w:hAnsi="Arial"/>
          <w:b/>
          <w:bCs/>
          <w:color w:val="1B2A4A"/>
          <w:sz w:val="28"/>
          <w:szCs w:val="28"/>
        </w:rPr>
        <w:t xml:space="preserve">2. AI/Algorithmic Prediction Market Traders</w:t>
      </w:r>
    </w:p>
    <w:p>
      <w:pPr>
        <w:spacing w:after="80" w:before="80" w:line="276"/>
      </w:pPr>
      <w:r>
        <w:rPr>
          <w:rFonts w:ascii="Arial" w:cs="Arial" w:eastAsia="Arial" w:hAnsi="Arial"/>
          <w:sz w:val="22"/>
          <w:szCs w:val="22"/>
        </w:rPr>
        <w:t xml:space="preserve">No institutional-grade AI prediction market fund with a formally audited track record yet exists in the public domain. However, the ecosystem of AI-driven traders on Polymarket is growing rapidly: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400"/>
        <w:gridCol w:w="242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Reported Performance</w:t>
            </w:r>
          </w:p>
        </w:tc>
        <w:tc>
          <w:tcPr>
            <w:tcW w:type="dxa" w:w="24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Anon bot “0x8dxd”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BTC spot-price arbitrage; sub-second execution on crypto markets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$313 → $438K in 1 month; 98% win rate</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Niche arbitrage, not generalizable to event markets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Ensemble Model Bot (Mikerin)</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Ensemble probability models trained on news/social data; continual retraining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$2.2M profit in 2 months</w:t>
            </w:r>
          </w:p>
        </w:tc>
        <w:tc>
          <w:tcPr>
            <w:tcW w:type="dxa" w:w="24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Concentrated in mispricing; alpha may decay as markets mature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Semantic 42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AI agents; research + execute via Base blockchain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$50K initial deployment; early stage</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Unproven at scale; single-chain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PredictEngine</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No-code bot platform; arbitrage detection + copy trading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Retail-facing; no published returns</w:t>
            </w:r>
          </w:p>
        </w:tc>
        <w:tc>
          <w:tcPr>
            <w:tcW w:type="dxa" w:w="24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Tool provider, not a fund; no proprietary edge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Weather Bots (various)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NOAA forecast → Polymarket weather market spread capture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~$24K reported profits; consistent</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Narrow domain; limited market size</w:t>
            </w:r>
          </w:p>
        </w:tc>
      </w:tr>
    </w:tbl>
    <w:p>
      <w:pPr>
        <w:spacing w:before="120"/>
      </w:pPr>
    </w:p>
    <w:p>
      <w:pPr>
        <w:spacing w:after="80" w:before="80" w:line="276"/>
      </w:pPr>
      <w:r>
        <w:rPr>
          <w:rFonts w:ascii="Arial" w:cs="Arial" w:eastAsia="Arial" w:hAnsi="Arial"/>
          <w:b/>
          <w:bCs/>
          <w:sz w:val="22"/>
          <w:szCs w:val="22"/>
        </w:rPr>
        <w:t xml:space="preserve">Key insight: </w:t>
      </w:r>
      <w:r>
        <w:rPr>
          <w:rFonts w:ascii="Arial" w:cs="Arial" w:eastAsia="Arial" w:hAnsi="Arial"/>
          <w:sz w:val="22"/>
          <w:szCs w:val="22"/>
        </w:rPr>
        <w:t xml:space="preserve">Existing bots are predominantly (a) arbitrage/HFT strategies exploiting execution speed, not forecasting skill, or (b) narrow-domain bots (weather, crypto price). No public competitor is running a systematic, multi-domain AI forecasting system as a managed fund—this is our white space.</w:t>
      </w:r>
    </w:p>
    <w:p>
      <w:pPr>
        <w:pStyle w:val="Heading1"/>
        <w:spacing w:after="160" w:before="300"/>
      </w:pPr>
      <w:r>
        <w:rPr>
          <w:rFonts w:ascii="Arial" w:cs="Arial" w:eastAsia="Arial" w:hAnsi="Arial"/>
          <w:b/>
          <w:bCs/>
          <w:color w:val="1B2A4A"/>
          <w:sz w:val="28"/>
          <w:szCs w:val="28"/>
        </w:rPr>
        <w:t xml:space="preserve">3. Win Rate Benchmarking: 64.9% in Context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2960"/>
        <w:gridCol w:w="29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Benchmark</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Accuracy / Win Rate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Our System (backtest)</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64.9% win rate</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Internal backtest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Average Polymarket trader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&lt;50% (majority lose money)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Polymarket Analytics</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Polymarket market-level accuracy</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67–94% (varies by methodology)</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Vanderbilt / McCullough studies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Superforecasters (GJP)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Brier 0.08–0.20; outperform markets by 15–30%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Tetlock &amp; Gardner (2015); GJP</w:t>
            </w:r>
          </w:p>
        </w:tc>
      </w:tr>
      <w:tr>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Best LLM (GPT-4.5, ForecastBench)</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Brier 0.101 (vs. superforecaster 0.081)</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ForecastBench (2025)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Median Polymarket user win rate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~45–48% (net losers)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85–90% of retail lose; top 1% profitable</w:t>
            </w:r>
          </w:p>
        </w:tc>
      </w:tr>
    </w:tbl>
    <w:p>
      <w:pPr>
        <w:spacing w:before="120"/>
      </w:pPr>
    </w:p>
    <w:p>
      <w:pPr>
        <w:spacing w:after="80" w:before="80" w:line="276"/>
      </w:pPr>
      <w:r>
        <w:rPr>
          <w:rFonts w:ascii="Arial" w:cs="Arial" w:eastAsia="Arial" w:hAnsi="Arial"/>
          <w:b/>
          <w:bCs/>
          <w:sz w:val="22"/>
          <w:szCs w:val="22"/>
        </w:rPr>
        <w:t xml:space="preserve">Interpretation: </w:t>
      </w:r>
      <w:r>
        <w:rPr>
          <w:rFonts w:ascii="Arial" w:cs="Arial" w:eastAsia="Arial" w:hAnsi="Arial"/>
          <w:sz w:val="22"/>
          <w:szCs w:val="22"/>
        </w:rPr>
        <w:t xml:space="preserve">A 64.9% win rate on binary prediction market outcomes places our system well above the average trader (&lt;50%) and above Polymarket’s own market-level accuracy by the stricter Vanderbilt methodology (67%). In the prediction market literature, sustained win rates above 60% on binary outcomes indicate genuine forecasting edge. Superforecasters achieve their outperformance primarily through calibration—our system’s edge is analogous, driven by systematic probability estimation rather than speed.</w:t>
      </w:r>
    </w:p>
    <w:p>
      <w:r>
        <w:br w:type="page"/>
      </w:r>
    </w:p>
    <w:p>
      <w:pPr>
        <w:sectPr>
          <w:headerReference w:type="default" r:id="rId7"/>
          <w:footerReference w:type="default" r:id="rId8"/>
          <w:pgSz w:w="12240" w:h="15840" w:orient="portrait"/>
          <w:pgMar w:top="1440" w:right="1260" w:bottom="1080" w:left="1260" w:header="708" w:footer="708" w:gutter="0"/>
          <w:pgNumType/>
          <w:docGrid w:linePitch="360"/>
        </w:sectPr>
      </w:pPr>
    </w:p>
    <w:p>
      <w:pPr>
        <w:pStyle w:val="Heading1"/>
        <w:spacing w:after="160" w:before="300"/>
      </w:pPr>
      <w:r>
        <w:rPr>
          <w:rFonts w:ascii="Arial" w:cs="Arial" w:eastAsia="Arial" w:hAnsi="Arial"/>
          <w:b/>
          <w:bCs/>
          <w:color w:val="1B2A4A"/>
          <w:sz w:val="28"/>
          <w:szCs w:val="28"/>
        </w:rPr>
        <w:t xml:space="preserve">4. Our Defensible Moat</w:t>
      </w:r>
    </w:p>
    <w:p>
      <w:pPr>
        <w:pStyle w:val="ListParagraph"/>
        <w:numPr>
          <w:ilvl w:val="0"/>
          <w:numId w:val="2"/>
        </w:numPr>
        <w:spacing w:after="60" w:before="60"/>
      </w:pPr>
      <w:r>
        <w:rPr>
          <w:rFonts w:ascii="Arial" w:cs="Arial" w:eastAsia="Arial" w:hAnsi="Arial"/>
          <w:b/>
          <w:bCs/>
          <w:sz w:val="22"/>
          <w:szCs w:val="22"/>
        </w:rPr>
        <w:t xml:space="preserve">Multi-domain generalization: </w:t>
      </w:r>
      <w:r>
        <w:rPr>
          <w:rFonts w:ascii="Arial" w:cs="Arial" w:eastAsia="Arial" w:hAnsi="Arial"/>
          <w:sz w:val="22"/>
          <w:szCs w:val="22"/>
        </w:rPr>
        <w:t xml:space="preserve">Multi-domain generalization: Unlike arbitrage bots or single-category specialists, our system forecasts across politics, economics, geopolitics, and more—requiring fundamentally different architecture than speed-based strategies.</w:t>
      </w:r>
    </w:p>
    <w:p>
      <w:pPr>
        <w:pStyle w:val="ListParagraph"/>
        <w:numPr>
          <w:ilvl w:val="0"/>
          <w:numId w:val="2"/>
        </w:numPr>
        <w:spacing w:after="60" w:before="60"/>
      </w:pPr>
      <w:r>
        <w:rPr>
          <w:rFonts w:ascii="Arial" w:cs="Arial" w:eastAsia="Arial" w:hAnsi="Arial"/>
          <w:b/>
          <w:bCs/>
          <w:sz w:val="22"/>
          <w:szCs w:val="22"/>
        </w:rPr>
        <w:t xml:space="preserve">Calibrated probability estimation: </w:t>
      </w:r>
      <w:r>
        <w:rPr>
          <w:rFonts w:ascii="Arial" w:cs="Arial" w:eastAsia="Arial" w:hAnsi="Arial"/>
          <w:sz w:val="22"/>
          <w:szCs w:val="22"/>
        </w:rPr>
        <w:t xml:space="preserve">Calibrated probability estimation: Our edge derives from superior probability estimation, not execution speed. As markets grow more liquid, speed-based alpha decays; calibration-based alpha persists and may increase as market depth improves fill rates.</w:t>
      </w:r>
    </w:p>
    <w:p>
      <w:pPr>
        <w:pStyle w:val="ListParagraph"/>
        <w:numPr>
          <w:ilvl w:val="0"/>
          <w:numId w:val="2"/>
        </w:numPr>
        <w:spacing w:after="60" w:before="60"/>
      </w:pPr>
      <w:r>
        <w:rPr>
          <w:rFonts w:ascii="Arial" w:cs="Arial" w:eastAsia="Arial" w:hAnsi="Arial"/>
          <w:b/>
          <w:bCs/>
          <w:sz w:val="22"/>
          <w:szCs w:val="22"/>
        </w:rPr>
        <w:t xml:space="preserve">Proprietary training pipeline: </w:t>
      </w:r>
      <w:r>
        <w:rPr>
          <w:rFonts w:ascii="Arial" w:cs="Arial" w:eastAsia="Arial" w:hAnsi="Arial"/>
          <w:sz w:val="22"/>
          <w:szCs w:val="22"/>
        </w:rPr>
        <w:t xml:space="preserve">Proprietary training pipeline: Our backtesting framework and prompt engineering across LLM ensembles are not easily replicable. ForecastBench research shows most LLMs simply copy market prices when available—our system is designed to generate independent probability estimates.</w:t>
      </w:r>
    </w:p>
    <w:p>
      <w:pPr>
        <w:pStyle w:val="ListParagraph"/>
        <w:numPr>
          <w:ilvl w:val="0"/>
          <w:numId w:val="2"/>
        </w:numPr>
        <w:spacing w:after="60" w:before="60"/>
      </w:pPr>
      <w:r>
        <w:rPr>
          <w:rFonts w:ascii="Arial" w:cs="Arial" w:eastAsia="Arial" w:hAnsi="Arial"/>
          <w:b/>
          <w:bCs/>
          <w:sz w:val="22"/>
          <w:szCs w:val="22"/>
        </w:rPr>
        <w:t xml:space="preserve">First-mover as a fund: </w:t>
      </w:r>
      <w:r>
        <w:rPr>
          <w:rFonts w:ascii="Arial" w:cs="Arial" w:eastAsia="Arial" w:hAnsi="Arial"/>
          <w:sz w:val="22"/>
          <w:szCs w:val="22"/>
        </w:rPr>
        <w:t xml:space="preserve">First-mover as a fund: No institutional AI prediction market fund with audited returns exists publicly. Early entrants capture relationships with platforms, liquidity provider status, and fee advantages (Polymarket only began charging taker fees in January 2026).</w:t>
      </w:r>
    </w:p>
    <w:p>
      <w:pPr>
        <w:pStyle w:val="ListParagraph"/>
        <w:numPr>
          <w:ilvl w:val="0"/>
          <w:numId w:val="2"/>
        </w:numPr>
        <w:spacing w:after="60" w:before="60"/>
      </w:pPr>
      <w:r>
        <w:rPr>
          <w:rFonts w:ascii="Arial" w:cs="Arial" w:eastAsia="Arial" w:hAnsi="Arial"/>
          <w:b/>
          <w:bCs/>
          <w:sz w:val="22"/>
          <w:szCs w:val="22"/>
        </w:rPr>
        <w:t xml:space="preserve">Compounding data advantage: </w:t>
      </w:r>
      <w:r>
        <w:rPr>
          <w:rFonts w:ascii="Arial" w:cs="Arial" w:eastAsia="Arial" w:hAnsi="Arial"/>
          <w:sz w:val="22"/>
          <w:szCs w:val="22"/>
        </w:rPr>
        <w:t xml:space="preserve">Compounding data advantage: Every trade generates proprietary calibration data that improves model performance, creating a flywheel that late entrants cannot shortcut.</w:t>
      </w:r>
    </w:p>
    <w:p>
      <w:pPr>
        <w:pStyle w:val="Heading1"/>
        <w:spacing w:after="160" w:before="300"/>
      </w:pPr>
      <w:r>
        <w:rPr>
          <w:rFonts w:ascii="Arial" w:cs="Arial" w:eastAsia="Arial" w:hAnsi="Arial"/>
          <w:b/>
          <w:bCs/>
          <w:color w:val="1B2A4A"/>
          <w:sz w:val="28"/>
          <w:szCs w:val="28"/>
        </w:rPr>
        <w:t xml:space="preserve">5. Market Tailwinds</w:t>
      </w:r>
    </w:p>
    <w:p>
      <w:pPr>
        <w:pStyle w:val="ListParagraph"/>
        <w:numPr>
          <w:ilvl w:val="0"/>
          <w:numId w:val="2"/>
        </w:numPr>
        <w:spacing w:after="60" w:before="60"/>
      </w:pPr>
      <w:r>
        <w:rPr>
          <w:rFonts w:ascii="Arial" w:cs="Arial" w:eastAsia="Arial" w:hAnsi="Arial"/>
          <w:sz w:val="22"/>
          <w:szCs w:val="22"/>
        </w:rPr>
        <w:t xml:space="preserve">Explosive volume growth: Industry went from &lt;$1B (2023) to $44B+ (2025). Projections estimate $10B in annual revenue by 2030 with deeper institutional involvement.</w:t>
      </w:r>
    </w:p>
    <w:p>
      <w:pPr>
        <w:pStyle w:val="ListParagraph"/>
        <w:numPr>
          <w:ilvl w:val="0"/>
          <w:numId w:val="2"/>
        </w:numPr>
        <w:spacing w:after="60" w:before="60"/>
      </w:pPr>
      <w:r>
        <w:rPr>
          <w:rFonts w:ascii="Arial" w:cs="Arial" w:eastAsia="Arial" w:hAnsi="Arial"/>
          <w:sz w:val="22"/>
          <w:szCs w:val="22"/>
        </w:rPr>
        <w:t xml:space="preserve">Regulatory clarity: CFTC recognition of prediction markets as legitimate derivatives (Kalshi regulated since 2020; Polymarket re-entered U.S. in 2025). Mainstream platforms (Robinhood, DraftKings, FanDuel) launching prediction products validates the asset class.</w:t>
      </w:r>
    </w:p>
    <w:p>
      <w:pPr>
        <w:pStyle w:val="ListParagraph"/>
        <w:numPr>
          <w:ilvl w:val="0"/>
          <w:numId w:val="2"/>
        </w:numPr>
        <w:spacing w:after="60" w:before="60"/>
      </w:pPr>
      <w:r>
        <w:rPr>
          <w:rFonts w:ascii="Arial" w:cs="Arial" w:eastAsia="Arial" w:hAnsi="Arial"/>
          <w:sz w:val="22"/>
          <w:szCs w:val="22"/>
        </w:rPr>
        <w:t xml:space="preserve">Expanding addressable market: Sports markets now &gt;60% of open interest. 2026 FIFA World Cup expected to drive record volumes. New categories (weather, AI milestones, corporate events) steadily being added.</w:t>
      </w:r>
    </w:p>
    <w:p>
      <w:pPr>
        <w:pStyle w:val="ListParagraph"/>
        <w:numPr>
          <w:ilvl w:val="0"/>
          <w:numId w:val="2"/>
        </w:numPr>
        <w:spacing w:after="60" w:before="60"/>
      </w:pPr>
      <w:r>
        <w:rPr>
          <w:rFonts w:ascii="Arial" w:cs="Arial" w:eastAsia="Arial" w:hAnsi="Arial"/>
          <w:sz w:val="22"/>
          <w:szCs w:val="22"/>
        </w:rPr>
        <w:t xml:space="preserve">Platform infrastructure maturation: APIs are improving, liquidity is deepening, and market microstructure is becoming more sophisticated—all reducing execution costs for systematic strategies.</w:t>
      </w:r>
    </w:p>
    <w:p>
      <w:pPr>
        <w:pStyle w:val="ListParagraph"/>
        <w:numPr>
          <w:ilvl w:val="0"/>
          <w:numId w:val="2"/>
        </w:numPr>
        <w:spacing w:after="60" w:before="60"/>
      </w:pPr>
      <w:r>
        <w:rPr>
          <w:rFonts w:ascii="Arial" w:cs="Arial" w:eastAsia="Arial" w:hAnsi="Arial"/>
          <w:sz w:val="22"/>
          <w:szCs w:val="22"/>
        </w:rPr>
        <w:t xml:space="preserve">Academic validation: Forecasting Research Institute projects LLM-superforecaster parity by November 2026, validating the thesis that AI can generate genuine forecasting alpha.</w:t>
      </w:r>
    </w:p>
    <w:p>
      <w:pPr>
        <w:pStyle w:val="Heading1"/>
        <w:spacing w:after="160" w:before="300"/>
      </w:pPr>
      <w:r>
        <w:rPr>
          <w:rFonts w:ascii="Arial" w:cs="Arial" w:eastAsia="Arial" w:hAnsi="Arial"/>
          <w:b/>
          <w:bCs/>
          <w:color w:val="1B2A4A"/>
          <w:sz w:val="28"/>
          <w:szCs w:val="28"/>
        </w:rPr>
        <w:t xml:space="preserve">6. Threats &amp; Risk Factors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4320"/>
        <w:gridCol w:w="2700"/>
      </w:tblGrid>
      <w:tr>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w:t>
            </w:r>
          </w:p>
        </w:tc>
        <w:tc>
          <w:tcPr>
            <w:tcW w:type="dxa" w:w="43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 efficiency increase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AI traders entering may compress margins. Top 0.5% of Polymarket users earn &gt;$1K; competition for alpha is intensifying.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model improvement; multi-platform diversification across Polymarket, Kalshi, and emerging venues</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Regulatory reversal</w:t>
            </w:r>
          </w:p>
        </w:tc>
        <w:tc>
          <w:tcPr>
            <w:tcW w:type="dxa" w:w="4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State-level challenges persist (MA injunction against Kalshi sports contracts, Jan 2026). Netherlands, France, Belgium, Portugal have banned Polymarket. Classification as gambling vs. derivatives remains contested.</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Multi-platform strategy; compliance-first approach; focus on CFTC-regulated venues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 commoditization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LLMs improve (parity projected Nov 2026), basic AI forecasting becomes table stakes. GPT-4.5 already achieves Brier 0.101.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 edge is the full system: data pipeline, position sizing, execution, and risk management—not just the LLM layer</w:t>
            </w:r>
          </w:p>
        </w:tc>
      </w:tr>
      <w:tr>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Liquidity risk</w:t>
            </w:r>
          </w:p>
        </w:tc>
        <w:tc>
          <w:tcPr>
            <w:tcW w:type="dxa" w:w="43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Many markets remain thin. In 2024, 70% of volume came from 1% of users. Slippage on larger positions can erode returns.</w:t>
            </w:r>
          </w:p>
        </w:tc>
        <w:tc>
          <w:tcPr>
            <w:tcW w:type="dxa" w:w="2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Position sizing limits; focus on markets with &gt;$100K liquidity; market-making component to capture spread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 risk</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Dependence on Polymarket/Kalshi APIs and solvency. Polymarket began charging fees in Jan 2026, compressing margins.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Multi-platform deployment; direct exchange memberships where possible</w:t>
            </w:r>
          </w:p>
        </w:tc>
      </w:tr>
    </w:tbl>
    <w:p>
      <w:pPr>
        <w:spacing w:before="200"/>
      </w:pPr>
    </w:p>
    <w:p>
      <w:pPr>
        <w:pStyle w:val="Heading1"/>
        <w:spacing w:after="160" w:before="300"/>
      </w:pPr>
      <w:r>
        <w:rPr>
          <w:rFonts w:ascii="Arial" w:cs="Arial" w:eastAsia="Arial" w:hAnsi="Arial"/>
          <w:b/>
          <w:bCs/>
          <w:color w:val="1B2A4A"/>
          <w:sz w:val="28"/>
          <w:szCs w:val="28"/>
        </w:rPr>
        <w:t xml:space="preserve">7. Strategic Positioning Summary</w:t>
      </w:r>
    </w:p>
    <w:p>
      <w:pPr>
        <w:spacing w:after="80" w:before="80" w:line="276"/>
      </w:pPr>
      <w:r>
        <w:rPr>
          <w:rFonts w:ascii="Arial" w:cs="Arial" w:eastAsia="Arial" w:hAnsi="Arial"/>
          <w:sz w:val="22"/>
          <w:szCs w:val="22"/>
        </w:rPr>
        <w:t xml:space="preserve">We are positioning as the first institutional-grade, multi-domain AI forecasting fund in the prediction market space. Our competitive advantage is not speed (where bots already dominate) or narrow-domain expertise (weather, crypto price), but systematic probability estimation across diverse event categories—the same skill that defines superforecasters, now automated and scalable.</w:t>
      </w:r>
    </w:p>
    <w:p>
      <w:pPr>
        <w:spacing w:after="80" w:before="80" w:line="276"/>
      </w:pPr>
      <w:r>
        <w:rPr>
          <w:rFonts w:ascii="Arial" w:cs="Arial" w:eastAsia="Arial" w:hAnsi="Arial"/>
          <w:b/>
          <w:bCs/>
          <w:sz w:val="22"/>
          <w:szCs w:val="22"/>
        </w:rPr>
        <w:t xml:space="preserve">The market is at an inflection point: </w:t>
      </w:r>
      <w:r>
        <w:rPr>
          <w:rFonts w:ascii="Arial" w:cs="Arial" w:eastAsia="Arial" w:hAnsi="Arial"/>
          <w:sz w:val="22"/>
          <w:szCs w:val="22"/>
        </w:rPr>
        <w:t xml:space="preserve">prediction markets have achieved regulatory legitimacy, mainstream platform adoption, and $44B+ in annual volume—yet no established fund exists to capture this opportunity systematically. With a backtested 64.9% win rate that exceeds both the average trader and market-level accuracy benchmarks, and a defensible moat in our proprietary forecasting pipeline, we are well-positioned to be the category-defining entrant.</w:t>
      </w:r>
    </w:p>
    <w:p>
      <w:pPr>
        <w:spacing w:before="160"/>
      </w:pPr>
    </w:p>
    <w:p>
      <w:pPr>
        <w:pBdr>
          <w:top w:val="single" w:color="CCCCCC" w:sz="1" w:space="1"/>
        </w:pBdr>
        <w:spacing w:before="120"/>
      </w:pPr>
    </w:p>
    <w:p>
      <w:r/>
    </w:p>
    <w:p>
      <w:r>
        <w:rPr>
          <w:b/>
          <w:sz w:val="26"/>
        </w:rPr>
        <w:t>8. Updated Competitive Intelligence (March 2026 Research)</w:t>
      </w:r>
    </w:p>
    <w:p>
      <w:r>
        <w:t>New research (GPT-4.5 state-of-the-art analysis, March 2026) provides updated competitive intelligence on the prediction market bot ecosystem:</w:t>
      </w:r>
    </w:p>
    <w:p>
      <w:r>
        <w:rPr>
          <w:b/>
        </w:rPr>
        <w:t>Open-Source Bot Proliferation</w:t>
      </w:r>
    </w:p>
    <w:p>
      <w:r>
        <w:t>The open-source Polymarket bot ecosystem is growing rapidly. Notable entries include: Aule Gabriel's Python bot for 15-minute Bitcoin up/down markets; Discountry's Polymarket Trading Bot with gasless trading, WebSocket feeds, and flash-crash strategy; and PolyScripts (GitHub org) hosting arbitrage bots including Polymarket-Kalshi cross-platform arb and sports trading bots. These projects share common features: real-time order book ingestion, arbitrage logic, and risk controls.</w:t>
      </w:r>
    </w:p>
    <w:p>
      <w:r>
        <w:rPr>
          <w:b/>
        </w:rPr>
        <w:t>AI Agent Frameworks</w:t>
      </w:r>
    </w:p>
    <w:p>
      <w:r>
        <w:t>The OpenClaw agent framework powered a Polymarket bot that reportedly earned $115K in one week. OpenClaw bots use LLM logic for opportunity filtering but hard-code execution rules for speed. This hybrid approach (AI for market selection, deterministic rules for execution) represents the emerging best practice. Reports emphasize that bots capturing arbitrage — not narrative analysis — tend to make money. One trader noted that only a minority of traders are profitable and successful bots typically employ sophisticated arbitrage rather than directional bets.</w:t>
      </w:r>
    </w:p>
    <w:p>
      <w:r>
        <w:rPr>
          <w:b/>
        </w:rPr>
        <w:t>Institutional Interest</w:t>
      </w:r>
    </w:p>
    <w:p>
      <w:r>
        <w:t>Traditional finance is cautiously eyeing prediction markets. Most hedge funds currently ingest PM data as alternative signals rather than deploying capital. Dysrupt Labs (Australia) found PM consensus aligns with economists 95% of the time, and the 5% deviation yields approximately 12bp advantage. Susquehanna has listed jobs for prediction-market traders. However, the smart money generally focuses on leveraging the data through proprietary analytics rather than large-scale betting on Polymarket itself.</w:t>
      </w:r>
    </w:p>
    <w:p>
      <w:r>
        <w:rPr>
          <w:b/>
        </w:rPr>
        <w:t>Profitability Distribution</w:t>
      </w:r>
    </w:p>
    <w:p>
      <w:r>
        <w:t>The competitive landscape is intense: one analysis noted $40M in profit for arbitrageurs in one year, but only approximately 0.5% of users earned more than $1,000. The dominant profitable strategies are arbitrage and market-making. Bots typically operate on millisecond latency running on VPS near Polygon nodes. UI-based sports or opinion trading is largely left to novices.</w:t>
      </w:r>
    </w:p>
    <w:p>
      <w:r>
        <w:rPr>
          <w:b/>
        </w:rPr>
        <w:t>Academic Benchmarks for LLM Forecasting</w:t>
      </w:r>
    </w:p>
    <w:p>
      <w:r>
        <w:t>Key academic findings now available: ForecastBench (Karger et al.) found humans beat top LLMs (p&lt;0.001). However, Halawi et al. (2024) demonstrated that combining LLM prompts can near the crowd aggregate accuracy and in some cases surpass it, validating ensemble methods. Clinton &amp; Huang (2025) found 2024 US election markets on Polymarket were only approximately 67% correct, with price divergences and late-arbitrage bursts — confirming exploitable inefficiencies in political markets specifically.</w:t>
      </w:r>
    </w:p>
    <w:p>
      <w:r>
        <w:rPr>
          <w:b/>
        </w:rPr>
        <w:t>Implications for Our Strategy</w:t>
      </w:r>
    </w:p>
    <w:p>
      <w:r>
        <w:t>Our forecasting-based approach remains differentiated in a landscape dominated by arbitrage bots. The academic evidence supporting multi-model ensembles strengthens our planned architecture. However, we must acknowledge that most profitable bot strategies use mechanical arbitrage, not AI forecasting. Our thesis — that calibrated LLM probability estimation can generate trading alpha — is novel and unproven at institutional scale, which is both our risk and our opportunity as a first-mover.</w:t>
      </w:r>
    </w:p>
    <w:p>
      <w:r/>
    </w:p>
    <w:p>
      <w:r>
        <w:t>9. Updated Market Category Rankings (LLM Bot Profitability)</w:t>
      </w:r>
    </w:p>
    <w:p>
      <w:r>
        <w:t>Research ranks market categories by profitability for an LLM-based trading bot: (1) Sports — highest volume &gt;$1.2B but edge is arbitrage/speed, not LLM forecasting; (2) Crypto — high volatility, AI can parse blockchain/news but taker fees erode edge; (3) Political Elections — high liquidity, ~67% market accuracy = exploitable, best LLM category; (4) Economic Indicators — steady but tight margins, 95% consensus alignment; (5) Tech Milestones — moderate opportunity, long horizon; (6) Entertainment — high noise, lower liquidity; (7) Weather — forecastable by science, limited PM presence; (8) Geopolitics — high uncertainty; (9) Science — lowest profitability. NOTE: Our system correctly prioritizes politics and weather for LLM-based forecasting (categories 3 and 7), while deprioritizing sports and crypto where the edge is speed-based, not forecasting-based.</w:t>
      </w:r>
    </w:p>
    <w:p>
      <w:r/>
    </w:p>
    <w:p>
      <w:pPr>
        <w:spacing w:before="80"/>
      </w:pPr>
      <w:r>
        <w:rPr>
          <w:rFonts w:ascii="Arial" w:cs="Arial" w:eastAsia="Arial" w:hAnsi="Arial"/>
          <w:b/>
          <w:i/>
          <w:iCs/>
          <w:color w:val="666666"/>
          <w:sz w:val="26"/>
          <w:szCs w:val="18"/>
        </w:rPr>
        <w:t xml:space="preserve">Sources: Polymarket Analytics, Kalshi public filings, ForecastBench (forecastbench.org), Tetlock &amp; Gardner (2015), Forecasting Research Institute, Vanderbilt University (Clinton &amp; Huang), Sacra, The Block, Crowdfund Insider, Yahoo Finance. All market data as of March 2026.</w:t>
      </w:r>
    </w:p>
    <w:sectPr>
      <w:headerReference w:type="default" r:id="rId9"/>
      <w:footerReference w:type="default" r:id="rId10"/>
      <w:pgSz w:w="12240" w:h="15840" w:orient="portrait"/>
      <w:pgMar w:top="144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CONFIDENTIAL — Investor Appendix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CONFIDENTIAL — Investor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2026-03-05T20:56:11.439Z</dcterms:created>
  <dcterms:modified xsi:type="dcterms:W3CDTF">2026-03-05T20:56:11.440Z</dcterms:modified>
</cp:coreProperties>
</file>

<file path=docProps/custom.xml><?xml version="1.0" encoding="utf-8"?>
<Properties xmlns="http://schemas.openxmlformats.org/officeDocument/2006/custom-properties" xmlns:vt="http://schemas.openxmlformats.org/officeDocument/2006/docPropsVTypes"/>
</file>