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Fee Structure &amp; Investor Economics Analysis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Quantitative Prediction Market Fund  |  March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Industry Fee Benchmarking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section compares our proposed fee structure against standard industry terms for traditional hedge funds, quantitative funds, crypto/digital asset funds, and emerging managers.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1.1 Our Proposed Terms vs. Industry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Fund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HF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Crypto Fund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Emerging Manager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Management Fee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1.0–1.5%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1.5–2.0%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0–1.0%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Fee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High-Water Mark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Hurdle 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~30% offer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Sometimes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Lock-Up Period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days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years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days–1 year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Withdrawal Notice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days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30–90 days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30–90 days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Withdrawal Freq.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Monthly/Qtrly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Monthly/Qtrly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Minimum Invest.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$100K–$1M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$50K–$250K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$25K–$100K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1.2 Key Observations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Management fee at 0% is highly unusual. </w:t>
      </w:r>
      <w:r>
        <w:rPr>
          <w:rFonts w:ascii="Arial" w:cs="Arial" w:eastAsia="Arial" w:hAnsi="Arial"/>
          <w:sz w:val="22"/>
          <w:szCs w:val="22"/>
        </w:rPr>
        <w:t xml:space="preserve">Even emerging managers typically charge 0.5–1.0% to cover operational costs. A zero management fee signals investor-friendliness but may raise credibility concerns—sophisticated investors may wonder how you sustain operations.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fee at 30% is above market. </w:t>
      </w:r>
      <w:r>
        <w:rPr>
          <w:rFonts w:ascii="Arial" w:cs="Arial" w:eastAsia="Arial" w:hAnsi="Arial"/>
          <w:sz w:val="22"/>
          <w:szCs w:val="22"/>
        </w:rPr>
        <w:t xml:space="preserve">The industry standard is 20%. Only top-tier, proven quant funds (Renaissance, Two Sigma, D.E. Shaw) command 25–44%+ performance fees, and they have decades of audited track records. At 30% with only backtested results, this may deter institutional or sophisticated investors.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$1,000 minimum is extremely low. </w:t>
      </w:r>
      <w:r>
        <w:rPr>
          <w:rFonts w:ascii="Arial" w:cs="Arial" w:eastAsia="Arial" w:hAnsi="Arial"/>
          <w:sz w:val="22"/>
          <w:szCs w:val="22"/>
        </w:rPr>
        <w:t xml:space="preserve">This positions the fund as retail-accessible, which is atypical for hedge funds (usually $100K+). While it lowers the barrier to entry, it increases administrative burden per dollar managed and may attract investors with misaligned expectations.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90-day lock-up is investor-friendly. </w:t>
      </w:r>
      <w:r>
        <w:rPr>
          <w:rFonts w:ascii="Arial" w:cs="Arial" w:eastAsia="Arial" w:hAnsi="Arial"/>
          <w:sz w:val="22"/>
          <w:szCs w:val="22"/>
        </w:rPr>
        <w:t xml:space="preserve">Traditional funds lock capital for 1–2 years. A 90-day lock-up with quarterly withdrawals reduces investor anxiety about illiquidity, which is helpful for a new fund without a track record.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Investor Return Modeling (After Fees)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We model investor returns under two scenarios using projections from the Monte Carlo simulation. The Conservative case uses 150% annual gross return (below the 5th percentile at $10K). The Base case uses 269% (median projection at $10K). All models assume the current 0% management fee / 30% carry structure.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2.1 Current Terms: 0% Mgmt / 30% Carry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 Conservative (150%) Annual Gross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30"/>
        <w:gridCol w:w="133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$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Mgmt Fee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Carry (30%)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Return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Value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$1,050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105.0%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$2,050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$7,500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$2,250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$5,250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105.0%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$10,250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$4,500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$10,500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105.0%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$20,500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$22,500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$52,500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105.0%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$102,500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 Base Case (269%) Annual Gross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30"/>
        <w:gridCol w:w="133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$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Mgmt Fee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Carry (30%)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Return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Value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$2,690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$807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$1,883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188.3%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$2,883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$13,450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$4,035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$9,415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188.3%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$14,415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$26,900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$8,070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$18,830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188.3%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$28,830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$134,500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$40,350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$94,150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188.3%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$144,150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2.2 Alternative: 0% Mgmt / 20% Carry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For comparison, here are returns at the standard 20% carry rate: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 Conservative (150%) Annual Gross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30"/>
        <w:gridCol w:w="133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$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Mgmt Fee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Carry (20%)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Return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Value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$1,200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120.0%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$2,200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$7,500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$6,000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120.0%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$11,000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$12,000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120.0%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$22,000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$60,000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120.0%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$110,000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 Base Case (269%) Annual Gross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30"/>
        <w:gridCol w:w="133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$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Mgmt Fee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Carry (20%)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Return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Value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$2,690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$538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$2,152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215.2%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$3,152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$13,450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$2,690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$10,760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215.2%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$15,760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$26,900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$5,380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$21,520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215.2%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$31,520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$134,500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$26,900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$107,600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215.2%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$157,600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2.3 Alternative: 1% Mgmt / 25% Carry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 hybrid structure that provides operational revenue while keeping carry competitive: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 Conservative (150%) Annual Gross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30"/>
        <w:gridCol w:w="133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$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Mgmt Fee (1%)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Carry (25%)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Return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Value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$373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$1,118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111.8%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$2,118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$7,500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$1,863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$5,588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111.8%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$10,588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$3,725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$11,175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111.8%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$21,175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$18,625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$55,875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111.8%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$105,875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 Base Case (269%) Annual Gross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30"/>
        <w:gridCol w:w="133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$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Mgmt Fee (1%)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Carry (25%)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Return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Value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$2,690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$670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$2,010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201.0%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$3,010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$13,450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$3,350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$10,050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201.0%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$15,050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$26,900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$6,700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$20,100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201.0%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$30,100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$134,500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$33,500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$100,500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201.0%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$150,500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AUM Viability Analysis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section estimates the minimum AUM required for the fund to be economically viable—covering infrastructure, time, and legal costs.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 Estimated Annual Operating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Estimate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(VPS, API costs)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$240–$500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model API costs (Claude, GPT, Grok)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$500–$2,000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 (fund formation, operating agreement)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$2,000–$5,000 (one-time, amortized)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Accounting / tax reporting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$1,000–$3,000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/ regulatory filings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$500–$2,000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Manager time (opportunity cost, 10–20 hrs/wk)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$15,000–$50,000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Insurance (E&amp;O, if obtained)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$2,000–$5,000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(excluding manager time)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$6,240–$17,500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(including manager time)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$21,240–$67,500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 Break-Even AUM by Fee Structure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Using the base case 269% gross return and targeting $15,000/year minimum revenue to justify operations (excluding manager full-time opportunity cost):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per $10K AUM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Break-Even AUM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at $100K AUM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 / 30% carry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$8,070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$18,600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$80,700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 / 20% carry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$5,380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$27,900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$53,800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 / 25% carry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$6,800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$22,100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$68,000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 / 20% carry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$5,480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$27,400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$54,800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3.3 Viability Assessment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 current 0% mgmt / 30% carry: </w:t>
      </w:r>
      <w:r>
        <w:rPr>
          <w:rFonts w:ascii="Arial" w:cs="Arial" w:eastAsia="Arial" w:hAnsi="Arial"/>
          <w:sz w:val="22"/>
          <w:szCs w:val="22"/>
        </w:rPr>
        <w:t xml:space="preserve">The fund breaks even at roughly $19K AUM assuming base-case returns. This is achievable even with just a handful of investors. However, if returns are lower (conservative case at 150%), break-even AUM rises to ~$33K.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 $100K AUM: </w:t>
      </w:r>
      <w:r>
        <w:rPr>
          <w:rFonts w:ascii="Arial" w:cs="Arial" w:eastAsia="Arial" w:hAnsi="Arial"/>
          <w:sz w:val="22"/>
          <w:szCs w:val="22"/>
        </w:rPr>
        <w:t xml:space="preserve">The 0%/30% structure generates approximately $80K in annual fees at base-case returns—enough to meaningfully compensate the manager and cover all operating costs.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critical risk: </w:t>
      </w:r>
      <w:r>
        <w:rPr>
          <w:rFonts w:ascii="Arial" w:cs="Arial" w:eastAsia="Arial" w:hAnsi="Arial"/>
          <w:sz w:val="22"/>
          <w:szCs w:val="22"/>
        </w:rPr>
        <w:t xml:space="preserve">With 0% management fee, the fund generates ZERO revenue during drawdowns or flat periods. This is the strongest argument for adding a small management fee—it provides baseline revenue regardless of performance.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Should You Charge a Management Fee?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4.1 Arguments For a Management Fee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sustainability. </w:t>
      </w:r>
      <w:r>
        <w:rPr>
          <w:rFonts w:ascii="Arial" w:cs="Arial" w:eastAsia="Arial" w:hAnsi="Arial"/>
          <w:sz w:val="22"/>
          <w:szCs w:val="22"/>
        </w:rPr>
        <w:t xml:space="preserve">At small scale ($10K–$50K AUM), a 1% management fee provides $100–$500/year. This is modest but signals that the fund has a revenue floor. Without it, a prolonged drawdown means zero income while costs continue.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Credibility signaling. </w:t>
      </w:r>
      <w:r>
        <w:rPr>
          <w:rFonts w:ascii="Arial" w:cs="Arial" w:eastAsia="Arial" w:hAnsi="Arial"/>
          <w:sz w:val="22"/>
          <w:szCs w:val="22"/>
        </w:rPr>
        <w:t xml:space="preserve">Counterintuitively, charging no management fee can reduce credibility. Experienced investors may wonder: how does this fund pay for audits, legal, and infrastructure? A small fee (0.5–1%) demonstrates professional cost structure.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Alignment precedent. </w:t>
      </w:r>
      <w:r>
        <w:rPr>
          <w:rFonts w:ascii="Arial" w:cs="Arial" w:eastAsia="Arial" w:hAnsi="Arial"/>
          <w:sz w:val="22"/>
          <w:szCs w:val="22"/>
        </w:rPr>
        <w:t xml:space="preserve">If you later grow AUM significantly, introducing a management fee after launch is harder than starting with one. Setting the structure early avoids awkward conversations.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4.2 Arguments Against (at This Stage)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Attraction tool. </w:t>
      </w:r>
      <w:r>
        <w:rPr>
          <w:rFonts w:ascii="Arial" w:cs="Arial" w:eastAsia="Arial" w:hAnsi="Arial"/>
          <w:sz w:val="22"/>
          <w:szCs w:val="22"/>
        </w:rPr>
        <w:t xml:space="preserve">0% management fee is a powerful marketing differentiator. It signals skin-in-the-game: the manager only profits when investors profit. This is compelling for first investors who are taking a risk on an unproven fund.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Immaterial revenue. </w:t>
      </w:r>
      <w:r>
        <w:rPr>
          <w:rFonts w:ascii="Arial" w:cs="Arial" w:eastAsia="Arial" w:hAnsi="Arial"/>
          <w:sz w:val="22"/>
          <w:szCs w:val="22"/>
        </w:rPr>
        <w:t xml:space="preserve">At $10K–$50K AUM, a 1% management fee generates $100–$500/year. This does not meaningfully change the fund’s economics—you’re not choosing between solvency and insolvency at this level.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Simplicity. </w:t>
      </w:r>
      <w:r>
        <w:rPr>
          <w:rFonts w:ascii="Arial" w:cs="Arial" w:eastAsia="Arial" w:hAnsi="Arial"/>
          <w:sz w:val="22"/>
          <w:szCs w:val="22"/>
        </w:rPr>
        <w:t xml:space="preserve">Performance-only fees are simpler to calculate, explain, and administer. Less complexity means fewer potential disputes.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4.3 Recommendation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(Launch to $100K AUM): No management fee. </w:t>
      </w:r>
      <w:r>
        <w:rPr>
          <w:rFonts w:ascii="Arial" w:cs="Arial" w:eastAsia="Arial" w:hAnsi="Arial"/>
          <w:sz w:val="22"/>
          <w:szCs w:val="22"/>
        </w:rPr>
        <w:t xml:space="preserve">Use the 0% management fee as a competitive advantage to attract initial capital. The carry at projected returns is sufficient to justify operations.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($100K+ AUM): Introduce 1% management fee. </w:t>
      </w:r>
      <w:r>
        <w:rPr>
          <w:rFonts w:ascii="Arial" w:cs="Arial" w:eastAsia="Arial" w:hAnsi="Arial"/>
          <w:sz w:val="22"/>
          <w:szCs w:val="22"/>
        </w:rPr>
        <w:t xml:space="preserve">Once you have a live track record and growing AUM, introduce a modest management fee with advance notice to existing investors. This is standard practice for emerging managers transitioning to a sustainable fee structure.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Carry Rate: 20% vs. 25% vs. 30%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5.1 Investor Net Returns Comparison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All scenarios assume 0% management fee and 269% gross annual return on a $10,000 investment: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Carry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Carry Paid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Return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 Keeps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$26,900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$5,380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$21,520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215.2%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 of profit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$26,900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$6,725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$20,175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75% of profit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$26,900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$8,070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$18,830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188.3%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70% of profit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5.2 Can 30% Carry Be Justified?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case for 30% carry rests on one argument: if your returns are genuinely 3–10x higher than traditional hedge funds, investors still come out far ahead even after a higher fee. An investor netting 188% annually at 30% carry earns more than an investor netting 8–12% at a traditional fund’s 20% carry.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However, there are significant counterarguments: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live track record. </w:t>
      </w:r>
      <w:r>
        <w:rPr>
          <w:rFonts w:ascii="Arial" w:cs="Arial" w:eastAsia="Arial" w:hAnsi="Arial"/>
          <w:sz w:val="22"/>
          <w:szCs w:val="22"/>
        </w:rPr>
        <w:t xml:space="preserve">30% carry is a premium-tier fee that top funds earn after years of proven, audited performance. Asking for it with only backtested results is a tough sell.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Perceived greed. </w:t>
      </w:r>
      <w:r>
        <w:rPr>
          <w:rFonts w:ascii="Arial" w:cs="Arial" w:eastAsia="Arial" w:hAnsi="Arial"/>
          <w:sz w:val="22"/>
          <w:szCs w:val="22"/>
        </w:rPr>
        <w:t xml:space="preserve">Sophisticated investors compare fee structures. Seeing 30% carry with no track record may signal that the manager is optimizing for self-enrichment rather than investor alignment.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Backtested return decay. </w:t>
      </w:r>
      <w:r>
        <w:rPr>
          <w:rFonts w:ascii="Arial" w:cs="Arial" w:eastAsia="Arial" w:hAnsi="Arial"/>
          <w:sz w:val="22"/>
          <w:szCs w:val="22"/>
        </w:rPr>
        <w:t xml:space="preserve">If live returns are lower than backtested (which is common), 30% carry creates more pain. At 50% annual return, 30% carry means the investor nets 35%—still good, but the 30% fee feels disproportionate.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5.3 Recommendation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 at 25% carry with a tiered structure. </w:t>
      </w:r>
      <w:r>
        <w:rPr>
          <w:rFonts w:ascii="Arial" w:cs="Arial" w:eastAsia="Arial" w:hAnsi="Arial"/>
          <w:sz w:val="22"/>
          <w:szCs w:val="22"/>
        </w:rPr>
        <w:t xml:space="preserve">This is above market (signaling confidence) but below the 30% that may create resistance. Consider: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Fee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$1,000–$9,999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$10,000–$49,999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Founding Investor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tiered approach rewards larger commitments, encourages bigger investments, and keeps the headline rate competitive while still capturing premium economics at smaller sizes.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Maximizing Chance of Attracting First $100K AUM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6.1 Fee Structure Recommendations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with 0% management fee. </w:t>
      </w:r>
      <w:r>
        <w:rPr>
          <w:rFonts w:ascii="Arial" w:cs="Arial" w:eastAsia="Arial" w:hAnsi="Arial"/>
          <w:sz w:val="22"/>
          <w:szCs w:val="22"/>
        </w:rPr>
        <w:t xml:space="preserve">This is your strongest differentiator. Every pitch should highlight: you only pay when we make money.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tiered carry (25%/22%/20%). </w:t>
      </w:r>
      <w:r>
        <w:rPr>
          <w:rFonts w:ascii="Arial" w:cs="Arial" w:eastAsia="Arial" w:hAnsi="Arial"/>
          <w:sz w:val="22"/>
          <w:szCs w:val="22"/>
        </w:rPr>
        <w:t xml:space="preserve">This creates a natural incentive for larger commitments. An investor considering $8K may stretch to $10K to get the lower rate.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Offer a Founding Investor class. </w:t>
      </w:r>
      <w:r>
        <w:rPr>
          <w:rFonts w:ascii="Arial" w:cs="Arial" w:eastAsia="Arial" w:hAnsi="Arial"/>
          <w:sz w:val="22"/>
          <w:szCs w:val="22"/>
        </w:rPr>
        <w:t xml:space="preserve">First 10 investors (or first $100K) get permanently locked-in favorable terms (20% carry, even after the fund grows). This creates urgency and rewards early trust.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Consider a 6-month fee holiday. </w:t>
      </w:r>
      <w:r>
        <w:rPr>
          <w:rFonts w:ascii="Arial" w:cs="Arial" w:eastAsia="Arial" w:hAnsi="Arial"/>
          <w:sz w:val="22"/>
          <w:szCs w:val="22"/>
        </w:rPr>
        <w:t xml:space="preserve">Waive carry entirely for the first 6 months. Investors keep 100% of profits during the proving period. This dramatically reduces the perceived risk of investing in an unproven strategy.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6.2 Non-Fee Factors That Drive AUM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Transparency. </w:t>
      </w:r>
      <w:r>
        <w:rPr>
          <w:rFonts w:ascii="Arial" w:cs="Arial" w:eastAsia="Arial" w:hAnsi="Arial"/>
          <w:sz w:val="22"/>
          <w:szCs w:val="22"/>
        </w:rPr>
        <w:t xml:space="preserve">Publish weekly or biweekly performance updates. Radical transparency builds trust faster than any fee discount.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Skin in the game. </w:t>
      </w:r>
      <w:r>
        <w:rPr>
          <w:rFonts w:ascii="Arial" w:cs="Arial" w:eastAsia="Arial" w:hAnsi="Arial"/>
          <w:sz w:val="22"/>
          <w:szCs w:val="22"/>
        </w:rPr>
        <w:t xml:space="preserve">Invest your own capital alongside investors and disclose this. Nothing builds confidence like the manager having personal money at risk.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 minimums with clear communication. </w:t>
      </w:r>
      <w:r>
        <w:rPr>
          <w:rFonts w:ascii="Arial" w:cs="Arial" w:eastAsia="Arial" w:hAnsi="Arial"/>
          <w:sz w:val="22"/>
          <w:szCs w:val="22"/>
        </w:rPr>
        <w:t xml:space="preserve">The $1,000 minimum is a strength for retail investors. Pair it with clear, honest communication about risks (your investor report already does this well).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Easy withdrawal terms. </w:t>
      </w:r>
      <w:r>
        <w:rPr>
          <w:rFonts w:ascii="Arial" w:cs="Arial" w:eastAsia="Arial" w:hAnsi="Arial"/>
          <w:sz w:val="22"/>
          <w:szCs w:val="22"/>
        </w:rPr>
        <w:t xml:space="preserve">The 90-day lock-up with quarterly withdrawals is already excellent. Emphasize this in materials.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Recommended Fee Structure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Based on the analysis above, we recommend the following fee structure to balance investor appeal, fund economics, and long-term scalability: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7.1 Phase 1: Launch (Months 1–12)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Management Fee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 (zero)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Fee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Tiered: 25% (under $10K) / 22% ($10K–$49K) / 20% ($50K+)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High-Water Mark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(standard)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Hurdle 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(simplicity at launch)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Lock-Up 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days (unchanged)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Withdrawal Notice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days (unchanged)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Withdrawal 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 (unchanged)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Minimum Investment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 (unchanged)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Founding Investor Perk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$100K in AUM gets permanently locked 20% carry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 Holiday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Consider 0% carry for first 90 days (optional)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7.2 Phase 2: Growth ($100K+ AUM, 6+ Month Track Record)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Management Fee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 annually (introduced with 60-day notice)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Fee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Tiered: 25%/22%/20% (unchanged)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Founding Investor Terms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Honored permanently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Other Terms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Unchanged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7.3 Rationale Summary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not 30% carry? </w:t>
      </w:r>
      <w:r>
        <w:rPr>
          <w:rFonts w:ascii="Arial" w:cs="Arial" w:eastAsia="Arial" w:hAnsi="Arial"/>
          <w:sz w:val="22"/>
          <w:szCs w:val="22"/>
        </w:rPr>
        <w:t xml:space="preserve">At launch, the extra 5–10% carry generates minimal additional revenue (you’re starting small) but creates meaningful investor resistance. The difference between 25% and 30% carry on $100K AUM at 269% return is ~$13K/year—significant, but not worth losing investors over.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tiered? </w:t>
      </w:r>
      <w:r>
        <w:rPr>
          <w:rFonts w:ascii="Arial" w:cs="Arial" w:eastAsia="Arial" w:hAnsi="Arial"/>
          <w:sz w:val="22"/>
          <w:szCs w:val="22"/>
        </w:rPr>
        <w:t xml:space="preserve">It’s a proven technique to encourage larger commitments. The psychological anchoring of the 20% “founding investor” rate drives urgency and bigger checks.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delay management fee? </w:t>
      </w:r>
      <w:r>
        <w:rPr>
          <w:rFonts w:ascii="Arial" w:cs="Arial" w:eastAsia="Arial" w:hAnsi="Arial"/>
          <w:sz w:val="22"/>
          <w:szCs w:val="22"/>
        </w:rPr>
        <w:t xml:space="preserve">The $100–$500/year you’d collect at small AUM isn’t worth the marketing cost of having a less clean pitch. “Zero management fee” is a powerful headline.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add it later? </w:t>
      </w:r>
      <w:r>
        <w:rPr>
          <w:rFonts w:ascii="Arial" w:cs="Arial" w:eastAsia="Arial" w:hAnsi="Arial"/>
          <w:sz w:val="22"/>
          <w:szCs w:val="22"/>
        </w:rPr>
        <w:t xml:space="preserve">Once you have a proven track record and growing AUM, a 1% management fee is reasonable and expected. It provides a revenue floor during drawdowns and signals institutional-grade operations.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Appendix: Sensitivity Analysis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Manager annual fee revenue at various AUM levels and return scenarios. This shows how fund economics scale.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Manager Revenue at 0% Mgmt / 25% Carry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30"/>
        <w:gridCol w:w="133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Return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$10K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$25K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$50K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$100K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$250K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$500K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$1,250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$3,125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$6,250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$12,500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$31,250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$62,500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$6,250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$12,500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$25,000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$62,500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$125,000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$3,750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$9,375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$18,750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$37,500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$93,750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$187,500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269%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$6,725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$16,813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$33,625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$67,250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$168,125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$336,250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At 269% return and $100K AUM, the manager earns approximately $67,250 annually in carry. At $250K AUM, this rises to $168,125. These figures make the fund a viable full-time endeavor.</w:t>
      </w:r>
    </w:p>
    <w:p>
      <w:pPr>
        <w:spacing w:after="100"/>
      </w:pPr>
    </w:p>
    <w:p>
      <w:pPr>
        <w:pBdr>
          <w:top w:val="single" w:color="CCCCCC" w:sz="1" w:space="8"/>
        </w:pBdr>
        <w:spacing w:before="200"/>
      </w:pPr>
      <w:r>
        <w:rPr>
          <w:rFonts w:ascii="Arial" w:cs="Arial" w:eastAsia="Arial" w:hAnsi="Arial"/>
          <w:b/>
          <w:bCs/>
          <w:i/>
          <w:iCs/>
          <w:color w:val="999999"/>
          <w:sz w:val="18"/>
          <w:szCs w:val="18"/>
        </w:rPr>
        <w:t xml:space="preserve">Disclaimer: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analysis is for internal planning purposes only. All return projections are based on backtested simulations and do not guarantee future performance. Fee structures should be reviewed by a qualified securities attorney before implementation. This document does not constitute legal, tax, or investment advice.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Fee Structure Analysis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2026-03-05T21:00:27.446Z</dcterms:created>
  <dcterms:modified xsi:type="dcterms:W3CDTF">2026-03-05T21:00:27.446Z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