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100" w:before="0"/>
        <w:jc w:val="center"/>
      </w:pPr>
      <w:r>
        <w:rPr>
          <w:rFonts w:ascii="Arial" w:cs="Arial" w:eastAsia="Arial" w:hAnsi="Arial"/>
          <w:b/>
          <w:bCs/>
          <w:i w:val="false"/>
          <w:iCs w:val="false"/>
          <w:color w:val="1B3A5C"/>
          <w:sz w:val="56"/>
          <w:szCs w:val="56"/>
        </w:rPr>
        <w:t xml:space="preserve">PREDICTIVE ALPHA FUND</w:t>
      </w:r>
    </w:p>
    <w:p>
      <w:pPr>
        <w:spacing w:after="100"/>
      </w:pPr>
    </w:p>
    <w:p>
      <w:pPr>
        <w:pBdr>
          <w:bottom w:val="single" w:color="2E75B6" w:sz="6" w:space="8"/>
        </w:pBdr>
        <w:spacing w:after="400"/>
        <w:jc w:val="center"/>
      </w:pPr>
      <w:r>
        <w:rPr>
          <w:rFonts w:ascii="Arial" w:cs="Arial" w:eastAsia="Arial" w:hAnsi="Arial"/>
          <w:color w:val="2E75B6"/>
          <w:sz w:val="36"/>
          <w:szCs w:val="36"/>
        </w:rPr>
        <w:t xml:space="preserve">Investor Report</w:t>
      </w:r>
    </w:p>
    <w:p>
      <w:pPr>
        <w:spacing w:after="200"/>
      </w:pPr>
    </w:p>
    <w:p>
      <w:pPr>
        <w:spacing w:after="100" w:before="0"/>
        <w:jc w:val="center"/>
      </w:pPr>
      <w:r>
        <w:rPr>
          <w:rFonts w:ascii="Arial" w:cs="Arial" w:eastAsia="Arial" w:hAnsi="Arial"/>
          <w:b w:val="false"/>
          <w:bCs w:val="false"/>
          <w:i w:val="false"/>
          <w:iCs w:val="false"/>
          <w:color w:val="666666"/>
          <w:sz w:val="28"/>
          <w:szCs w:val="28"/>
        </w:rPr>
        <w:t xml:space="preserve">March 2026</w:t>
      </w:r>
    </w:p>
    <w:p>
      <w:pPr>
        <w:spacing w:after="600" w:before="0"/>
        <w:jc w:val="center"/>
      </w:pPr>
      <w:r>
        <w:rPr>
          <w:rFonts w:ascii="Arial" w:cs="Arial" w:eastAsia="Arial" w:hAnsi="Arial"/>
          <w:b w:val="false"/>
          <w:bCs w:val="false"/>
          <w:i w:val="false"/>
          <w:iCs w:val="false"/>
          <w:color w:val="666666"/>
          <w:sz w:val="22"/>
          <w:szCs w:val="22"/>
        </w:rPr>
        <w:t xml:space="preserve">CONFIDENTIAL — For Prospective Investors Only</w:t>
      </w:r>
    </w:p>
    <w:p>
      <w:pPr>
        <w:spacing w:after="400"/>
      </w:pPr>
    </w:p>
    <w:p>
      <w:pPr>
        <w:spacing w:after="100" w:before="0"/>
        <w:jc w:val="center"/>
      </w:pPr>
      <w:r>
        <w:rPr>
          <w:rFonts w:ascii="Arial" w:cs="Arial" w:eastAsia="Arial" w:hAnsi="Arial"/>
          <w:b w:val="false"/>
          <w:bCs w:val="false"/>
          <w:i w:val="false"/>
          <w:iCs w:val="false"/>
          <w:color w:val="666666"/>
          <w:sz w:val="24"/>
          <w:szCs w:val="24"/>
        </w:rPr>
        <w:t xml:space="preserve">Prepared by John Bradley</w:t>
      </w:r>
    </w:p>
    <w:p>
      <w:pPr>
        <w:spacing w:after="200" w:before="0"/>
        <w:jc w:val="center"/>
      </w:pPr>
      <w:r>
        <w:rPr>
          <w:rFonts w:ascii="Arial" w:cs="Arial" w:eastAsia="Arial" w:hAnsi="Arial"/>
          <w:b w:val="false"/>
          <w:bCs w:val="false"/>
          <w:i w:val="false"/>
          <w:iCs w:val="false"/>
          <w:color w:val="2E75B6"/>
          <w:sz w:val="22"/>
          <w:szCs w:val="22"/>
        </w:rPr>
        <w:t xml:space="preserve">johnhavenbradley@gmail.com</w:t>
      </w:r>
    </w:p>
    <w:p>
      <w:pPr>
        <w:spacing w:after="600"/>
      </w:pPr>
    </w:p>
    <w:p>
      <w:pPr>
        <w:pBdr>
          <w:left w:val="single" w:color="2E75B6" w:sz="12" w:space="8"/>
        </w:pBdr>
        <w:spacing w:after="200" w:before="200"/>
        <w:ind w:left="360" w:right="360"/>
      </w:pPr>
      <w:r>
        <w:rPr>
          <w:rFonts w:ascii="Arial" w:cs="Arial" w:eastAsia="Arial" w:hAnsi="Arial"/>
          <w:i/>
          <w:iCs/>
          <w:color w:val="666666"/>
          <w:sz w:val="22"/>
          <w:szCs w:val="22"/>
        </w:rPr>
        <w:t xml:space="preserve">IMPORTANT: This document is for informational purposes only and does not constitute an offer to sell or a solicitation of an offer to buy any securities. All performance figures are based on backtested/simulated results and do not represent actual trading. Past performance, whether simulated or actual, does not guarantee future results. Prediction market trading involves substantial risk of loss, including the possible loss of your entire investment. Consult your own financial and legal advisors before investing.</w:t>
      </w:r>
    </w:p>
    <w:p>
      <w:pPr>
        <w:sectPr>
          <w:pgSz w:w="12240" w:h="15840" w:orient="portrait"/>
          <w:pgMar w:top="1440" w:right="1440" w:bottom="1440" w:left="1440" w:header="708" w:footer="708" w:gutter="0"/>
          <w:pgNumType/>
          <w:docGrid w:linePitch="360"/>
        </w:sectPr>
      </w:pPr>
    </w:p>
    <w:p>
      <w:pPr>
        <w:pStyle w:val="Heading1"/>
        <w:spacing w:after="200" w:before="360"/>
        <w:jc w:val="left"/>
      </w:pPr>
      <w:r>
        <w:rPr>
          <w:rFonts w:ascii="Arial" w:cs="Arial" w:eastAsia="Arial" w:hAnsi="Arial"/>
          <w:b/>
          <w:bCs/>
          <w:i w:val="false"/>
          <w:iCs w:val="false"/>
          <w:color w:val="1B3A5C"/>
          <w:sz w:val="36"/>
          <w:szCs w:val="36"/>
        </w:rPr>
        <w:t xml:space="preserve">1. Executive Summary</w:t>
      </w:r>
    </w:p>
    <w:p>
      <w:pPr>
        <w:spacing w:after="200" w:before="0"/>
        <w:jc w:val="left"/>
      </w:pPr>
      <w:r>
        <w:rPr>
          <w:rFonts w:ascii="Arial" w:cs="Arial" w:eastAsia="Arial" w:hAnsi="Arial"/>
          <w:b/>
          <w:bCs/>
          <w:color w:val="333333"/>
          <w:sz w:val="24"/>
          <w:szCs w:val="24"/>
        </w:rPr>
        <w:t xml:space="preserve">Predictive Alpha Fund</w:t>
      </w:r>
      <w:r>
        <w:rPr>
          <w:rFonts w:ascii="Arial" w:cs="Arial" w:eastAsia="Arial" w:hAnsi="Arial"/>
          <w:color w:val="333333"/>
          <w:sz w:val="24"/>
          <w:szCs w:val="24"/>
        </w:rPr>
        <w:t xml:space="preserve"> is an AI-powered automated trading system that identifies and exploits mispricings in prediction markets. Think of it like card counting, but for prediction markets — our AI reads each question, estimates the real probability from first principles, and bets when the crowd has it wrong.</w:t>
      </w:r>
    </w:p>
    <w:p>
      <w:pPr>
        <w:spacing w:after="200" w:before="0"/>
        <w:jc w:val="left"/>
      </w:pPr>
      <w:r>
        <w:rPr>
          <w:rFonts w:ascii="Arial" w:cs="Arial" w:eastAsia="Arial" w:hAnsi="Arial"/>
          <w:b w:val="false"/>
          <w:bCs w:val="false"/>
          <w:i w:val="false"/>
          <w:iCs w:val="false"/>
          <w:color w:val="333333"/>
          <w:sz w:val="24"/>
          <w:szCs w:val="24"/>
        </w:rPr>
        <w:t xml:space="preserve">Prediction markets are platforms where people trade contracts on real-world outcomes — elections, weather events, economic indicators. The price of each contract reflects the crowd’s estimated probability. When our AI’s estimate meaningfully disagrees with the market price, we place a trade. Over hundreds of trades, being slightly more accurate than the crowd compounds into real returns.</w:t>
      </w:r>
    </w:p>
    <w:p>
      <w:pPr>
        <w:spacing w:after="100"/>
      </w:pPr>
    </w:p>
    <w:p>
      <w:pPr>
        <w:pStyle w:val="Heading3"/>
        <w:spacing w:after="200" w:before="240"/>
        <w:jc w:val="left"/>
      </w:pPr>
      <w:r>
        <w:rPr>
          <w:rFonts w:ascii="Arial" w:cs="Arial" w:eastAsia="Arial" w:hAnsi="Arial"/>
          <w:b/>
          <w:bCs/>
          <w:i w:val="false"/>
          <w:iCs w:val="false"/>
          <w:color w:val="1B3A5C"/>
          <w:sz w:val="26"/>
          <w:szCs w:val="26"/>
        </w:rPr>
        <w:t xml:space="preserve">Key Metrics (Backtest)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B3A5C"/>
                <w:sz w:val="22"/>
                <w:szCs w:val="22"/>
              </w:rPr>
              <w:t xml:space="preserve">Markets Analyzed</w:t>
            </w:r>
          </w:p>
        </w:tc>
        <w:tc>
          <w:tcPr>
            <w:tcW w:type="dxa" w:w="5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2"/>
                <w:szCs w:val="22"/>
              </w:rPr>
              <w:t xml:space="preserve">532 resolved prediction markets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2"/>
                <w:szCs w:val="22"/>
              </w:rPr>
              <w:t xml:space="preserve">Win Rate (Calibrated)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68.5% overall (70.2% on NO bets, 63.3% on YES bets)</w:t>
            </w:r>
          </w:p>
        </w:tc>
      </w:tr>
      <w:tr>
        <w:tc>
          <w:tcPr>
            <w:tcW w:type="dxa" w:w="4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B3A5C"/>
                <w:sz w:val="22"/>
                <w:szCs w:val="22"/>
              </w:rPr>
              <w:t xml:space="preserve">Average Profit per Trade</w:t>
            </w:r>
          </w:p>
        </w:tc>
        <w:tc>
          <w:tcPr>
            <w:tcW w:type="dxa" w:w="5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2"/>
                <w:szCs w:val="22"/>
              </w:rPr>
              <w:t xml:space="preserve">+$0.74 on $2.00 positions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2"/>
                <w:szCs w:val="22"/>
              </w:rPr>
              <w:t xml:space="preserve">Brier Score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0.217 (lower = better; 0.25 = random guessing)</w:t>
            </w:r>
          </w:p>
        </w:tc>
      </w:tr>
      <w:tr>
        <w:tc>
          <w:tcPr>
            <w:tcW w:type="dxa" w:w="4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B3A5C"/>
                <w:sz w:val="22"/>
                <w:szCs w:val="22"/>
              </w:rPr>
              <w:t xml:space="preserve">Monte Carlo P(Total Loss)</w:t>
            </w:r>
          </w:p>
        </w:tc>
        <w:tc>
          <w:tcPr>
            <w:tcW w:type="dxa" w:w="5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2"/>
                <w:szCs w:val="22"/>
              </w:rPr>
              <w:t xml:space="preserve">0.0% across 10,000 simulations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2"/>
                <w:szCs w:val="22"/>
              </w:rPr>
              <w:t xml:space="preserve">Median 12-Month Return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+269% at $10K starting capital</w:t>
            </w:r>
          </w:p>
        </w:tc>
      </w:tr>
    </w:tbl>
    <w:p>
      <w:pPr>
        <w:spacing w:after="100"/>
      </w:pPr>
    </w:p>
    <w:p>
      <w:pPr>
        <w:pBdr>
          <w:left w:val="single" w:color="2E75B6" w:sz="12" w:space="8"/>
        </w:pBdr>
        <w:spacing w:after="200" w:before="200"/>
        <w:ind w:left="360" w:right="360"/>
      </w:pPr>
      <w:r>
        <w:rPr>
          <w:rFonts w:ascii="Arial" w:cs="Arial" w:eastAsia="Arial" w:hAnsi="Arial"/>
          <w:i/>
          <w:iCs/>
          <w:color w:val="666666"/>
          <w:sz w:val="22"/>
          <w:szCs w:val="22"/>
        </w:rPr>
        <w:t xml:space="preserve">Note: All performance figures are from backtested/simulated results. Backtest results do not guarantee future returns. See Section 6 for comprehensive risk factors.</w:t>
      </w:r>
    </w:p>
    <w:p>
      <w:pPr>
        <w:spacing w:after="100"/>
      </w:pPr>
    </w:p>
    <w:p>
      <w:pPr>
        <w:pStyle w:val="Heading3"/>
        <w:spacing w:after="200" w:before="240"/>
        <w:jc w:val="left"/>
      </w:pPr>
      <w:r>
        <w:rPr>
          <w:rFonts w:ascii="Arial" w:cs="Arial" w:eastAsia="Arial" w:hAnsi="Arial"/>
          <w:b/>
          <w:bCs/>
          <w:i w:val="false"/>
          <w:iCs w:val="false"/>
          <w:color w:val="1B3A5C"/>
          <w:sz w:val="26"/>
          <w:szCs w:val="26"/>
        </w:rPr>
        <w:t xml:space="preserve">Investment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B3A5C"/>
                <w:sz w:val="22"/>
                <w:szCs w:val="22"/>
              </w:rPr>
              <w:t xml:space="preserve">Management Fee</w:t>
            </w:r>
          </w:p>
        </w:tc>
        <w:tc>
          <w:tcPr>
            <w:tcW w:type="dxa" w:w="5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2"/>
                <w:szCs w:val="22"/>
              </w:rPr>
              <w:t xml:space="preserve">0% (we do not charge for managing your money)</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2"/>
                <w:szCs w:val="22"/>
              </w:rPr>
              <w:t xml:space="preserve">Performance Fee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30% of profits above high-water mark</w:t>
            </w:r>
          </w:p>
        </w:tc>
      </w:tr>
      <w:tr>
        <w:tc>
          <w:tcPr>
            <w:tcW w:type="dxa" w:w="4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B3A5C"/>
                <w:sz w:val="22"/>
                <w:szCs w:val="22"/>
              </w:rPr>
              <w:t xml:space="preserve">Minimum Investment</w:t>
            </w:r>
          </w:p>
        </w:tc>
        <w:tc>
          <w:tcPr>
            <w:tcW w:type="dxa" w:w="5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2"/>
                <w:szCs w:val="22"/>
              </w:rPr>
              <w:t xml:space="preserve">$1,000 ($500 for friends &amp; family side letter)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2"/>
                <w:szCs w:val="22"/>
              </w:rPr>
              <w:t xml:space="preserve">Lock-Up Period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90 days</w:t>
            </w:r>
          </w:p>
        </w:tc>
      </w:tr>
      <w:tr>
        <w:tc>
          <w:tcPr>
            <w:tcW w:type="dxa" w:w="4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B3A5C"/>
                <w:sz w:val="22"/>
                <w:szCs w:val="22"/>
              </w:rPr>
              <w:t xml:space="preserve">Withdrawals</w:t>
            </w:r>
          </w:p>
        </w:tc>
        <w:tc>
          <w:tcPr>
            <w:tcW w:type="dxa" w:w="5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2"/>
                <w:szCs w:val="22"/>
              </w:rPr>
              <w:t xml:space="preserve">Quarterly with 30-day notice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2"/>
                <w:szCs w:val="22"/>
              </w:rPr>
              <w:t xml:space="preserve">Structure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LLC taxed as partnership, Reg D 506(b)</w:t>
            </w:r>
          </w:p>
        </w:tc>
      </w:tr>
    </w:tbl>
    <w:p>
      <w:pPr>
        <w:pStyle w:val="Heading1"/>
        <w:spacing w:after="200" w:before="360"/>
        <w:jc w:val="left"/>
      </w:pPr>
      <w:r>
        <w:rPr>
          <w:rFonts w:ascii="Arial" w:cs="Arial" w:eastAsia="Arial" w:hAnsi="Arial"/>
          <w:b/>
          <w:bCs/>
          <w:i w:val="false"/>
          <w:iCs w:val="false"/>
          <w:color w:val="1B3A5C"/>
          <w:sz w:val="36"/>
          <w:szCs w:val="36"/>
        </w:rPr>
        <w:t xml:space="preserve">2. The Opportunity</w:t>
      </w:r>
    </w:p>
    <w:p>
      <w:pPr>
        <w:pStyle w:val="Heading2"/>
        <w:spacing w:after="200" w:before="240"/>
        <w:jc w:val="left"/>
      </w:pPr>
      <w:r>
        <w:rPr>
          <w:rFonts w:ascii="Arial" w:cs="Arial" w:eastAsia="Arial" w:hAnsi="Arial"/>
          <w:b/>
          <w:bCs/>
          <w:i w:val="false"/>
          <w:iCs w:val="false"/>
          <w:color w:val="1B3A5C"/>
          <w:sz w:val="30"/>
          <w:szCs w:val="30"/>
        </w:rPr>
        <w:t xml:space="preserve">Prediction Markets Are Booming</w:t>
      </w:r>
    </w:p>
    <w:p>
      <w:pPr>
        <w:spacing w:after="200" w:before="0"/>
        <w:jc w:val="left"/>
      </w:pPr>
      <w:r>
        <w:rPr>
          <w:rFonts w:ascii="Arial" w:cs="Arial" w:eastAsia="Arial" w:hAnsi="Arial"/>
          <w:b w:val="false"/>
          <w:bCs w:val="false"/>
          <w:i w:val="false"/>
          <w:iCs w:val="false"/>
          <w:color w:val="333333"/>
          <w:sz w:val="24"/>
          <w:szCs w:val="24"/>
        </w:rPr>
        <w:t xml:space="preserve">Prediction markets have exploded in popularity. Polymarket, the world’s largest prediction market platform, processed over $3.5 billion in trading volume in 2024–2025, driven by the U.S. presidential election cycle and growing mainstream adoption. This growth is creating liquid, active markets across politics, economics, weather, and current events — exactly the categories where AI forecasting has a demonstrated edge.</w:t>
      </w:r>
    </w:p>
    <w:p>
      <w:pPr>
        <w:spacing w:after="200" w:before="0"/>
        <w:jc w:val="left"/>
      </w:pPr>
      <w:r>
        <w:rPr>
          <w:rFonts w:ascii="Arial" w:cs="Arial" w:eastAsia="Arial" w:hAnsi="Arial"/>
          <w:b w:val="false"/>
          <w:bCs w:val="false"/>
          <w:i w:val="false"/>
          <w:iCs w:val="false"/>
          <w:color w:val="333333"/>
          <w:sz w:val="24"/>
          <w:szCs w:val="24"/>
        </w:rPr>
        <w:t xml:space="preserve">Unlike traditional financial markets dominated by institutional investors with decades of infrastructure, prediction markets are still young. Many participants are retail traders making bets based on gut feelings, political allegiance, or incomplete analysis. This creates persistent mispricings that a systematic, data-driven approach can exploit.</w:t>
      </w:r>
    </w:p>
    <w:p>
      <w:pPr>
        <w:pStyle w:val="Heading2"/>
        <w:spacing w:after="200" w:before="240"/>
        <w:jc w:val="left"/>
      </w:pPr>
      <w:r>
        <w:rPr>
          <w:rFonts w:ascii="Arial" w:cs="Arial" w:eastAsia="Arial" w:hAnsi="Arial"/>
          <w:b/>
          <w:bCs/>
          <w:i w:val="false"/>
          <w:iCs w:val="false"/>
          <w:color w:val="1B3A5C"/>
          <w:sz w:val="30"/>
          <w:szCs w:val="30"/>
        </w:rPr>
        <w:t xml:space="preserve">Market Inefficiencies We Exploit</w:t>
      </w:r>
    </w:p>
    <w:p>
      <w:pPr>
        <w:spacing w:after="200" w:before="0"/>
        <w:jc w:val="left"/>
      </w:pPr>
      <w:r>
        <w:rPr>
          <w:rFonts w:ascii="Arial" w:cs="Arial" w:eastAsia="Arial" w:hAnsi="Arial"/>
          <w:b w:val="false"/>
          <w:bCs w:val="false"/>
          <w:i w:val="false"/>
          <w:iCs w:val="false"/>
          <w:color w:val="333333"/>
          <w:sz w:val="24"/>
          <w:szCs w:val="24"/>
        </w:rPr>
        <w:t xml:space="preserve">Our system targets three well-documented inefficiencies:</w:t>
      </w:r>
    </w:p>
    <w:p>
      <w:pPr>
        <w:pStyle w:val="ListParagraph"/>
        <w:numPr>
          <w:ilvl w:val="0"/>
          <w:numId w:val="2"/>
        </w:numPr>
        <w:spacing w:after="200" w:before="0"/>
        <w:jc w:val="left"/>
      </w:pPr>
      <w:r>
        <w:rPr>
          <w:rFonts w:ascii="Arial" w:cs="Arial" w:eastAsia="Arial" w:hAnsi="Arial"/>
          <w:b/>
          <w:bCs/>
          <w:color w:val="333333"/>
          <w:sz w:val="24"/>
          <w:szCs w:val="24"/>
        </w:rPr>
        <w:t xml:space="preserve">Favorite-longshot bias: </w:t>
      </w:r>
      <w:r>
        <w:rPr>
          <w:rFonts w:ascii="Arial" w:cs="Arial" w:eastAsia="Arial" w:hAnsi="Arial"/>
          <w:color w:val="333333"/>
          <w:sz w:val="24"/>
          <w:szCs w:val="24"/>
        </w:rPr>
        <w:t xml:space="preserve">People consistently overprice exciting, unlikely outcomes (the “longshot”) and underprice boring, likely outcomes. Our data confirms this: our win rate on NO bets (betting against hype) is 70.2% versus 63.3% on YES bets. Academic research (Whelan 2025, Becker 2025) documents this bias extensively in prediction markets.</w:t>
      </w:r>
    </w:p>
    <w:p>
      <w:pPr>
        <w:pStyle w:val="ListParagraph"/>
        <w:numPr>
          <w:ilvl w:val="0"/>
          <w:numId w:val="2"/>
        </w:numPr>
        <w:spacing w:after="200" w:before="0"/>
        <w:jc w:val="left"/>
      </w:pPr>
      <w:r>
        <w:rPr>
          <w:rFonts w:ascii="Arial" w:cs="Arial" w:eastAsia="Arial" w:hAnsi="Arial"/>
          <w:b/>
          <w:bCs/>
          <w:color w:val="333333"/>
          <w:sz w:val="24"/>
          <w:szCs w:val="24"/>
        </w:rPr>
        <w:t xml:space="preserve">Anchoring and emotional trading: </w:t>
      </w:r>
      <w:r>
        <w:rPr>
          <w:rFonts w:ascii="Arial" w:cs="Arial" w:eastAsia="Arial" w:hAnsi="Arial"/>
          <w:color w:val="333333"/>
          <w:sz w:val="24"/>
          <w:szCs w:val="24"/>
        </w:rPr>
        <w:t xml:space="preserve">Most traders see the current market price and anchor to it. Our AI deliberately does not see the market price when estimating probabilities, eliminating this bias entirely. It reasons from first principles — base rates, historical patterns, and available evidence.</w:t>
      </w:r>
    </w:p>
    <w:p>
      <w:pPr>
        <w:pStyle w:val="ListParagraph"/>
        <w:numPr>
          <w:ilvl w:val="0"/>
          <w:numId w:val="2"/>
        </w:numPr>
        <w:spacing w:after="200" w:before="0"/>
        <w:jc w:val="left"/>
      </w:pPr>
      <w:r>
        <w:rPr>
          <w:rFonts w:ascii="Arial" w:cs="Arial" w:eastAsia="Arial" w:hAnsi="Arial"/>
          <w:b/>
          <w:bCs/>
          <w:color w:val="333333"/>
          <w:sz w:val="24"/>
          <w:szCs w:val="24"/>
        </w:rPr>
        <w:t xml:space="preserve">Category-specific mispricing: </w:t>
      </w:r>
      <w:r>
        <w:rPr>
          <w:rFonts w:ascii="Arial" w:cs="Arial" w:eastAsia="Arial" w:hAnsi="Arial"/>
          <w:color w:val="333333"/>
          <w:sz w:val="24"/>
          <w:szCs w:val="24"/>
        </w:rPr>
        <w:t xml:space="preserve">Research (Lu 2025, RAND) shows AI performs best on political and weather markets, where information is public and analyzable, and worst on crypto and sports markets. We route our trading to the high-edge categories and skip the rest.</w:t>
      </w:r>
    </w:p>
    <w:p>
      <w:pPr>
        <w:pStyle w:val="Heading2"/>
        <w:spacing w:after="200" w:before="240"/>
        <w:jc w:val="left"/>
      </w:pPr>
      <w:r>
        <w:rPr>
          <w:rFonts w:ascii="Arial" w:cs="Arial" w:eastAsia="Arial" w:hAnsi="Arial"/>
          <w:b/>
          <w:bCs/>
          <w:i w:val="false"/>
          <w:iCs w:val="false"/>
          <w:color w:val="1B3A5C"/>
          <w:sz w:val="30"/>
          <w:szCs w:val="30"/>
        </w:rPr>
        <w:t xml:space="preserve">Why AI Has an Edge Here</w:t>
      </w:r>
    </w:p>
    <w:p>
      <w:pPr>
        <w:spacing w:after="200" w:before="0"/>
        <w:jc w:val="left"/>
      </w:pPr>
      <w:r>
        <w:rPr>
          <w:rFonts w:ascii="Arial" w:cs="Arial" w:eastAsia="Arial" w:hAnsi="Arial"/>
          <w:b w:val="false"/>
          <w:bCs w:val="false"/>
          <w:i w:val="false"/>
          <w:iCs w:val="false"/>
          <w:color w:val="333333"/>
          <w:sz w:val="24"/>
          <w:szCs w:val="24"/>
        </w:rPr>
        <w:t xml:space="preserve">Large Language Models (LLMs) process information differently than human traders. They don’t get excited about longshot outcomes, don’t anchor to current prices, and don’t tire of analyzing hundreds of markets per day. Academic research supports this advantage:</w:t>
      </w:r>
    </w:p>
    <w:p>
      <w:pPr>
        <w:pStyle w:val="ListParagraph"/>
        <w:numPr>
          <w:ilvl w:val="0"/>
          <w:numId w:val="2"/>
        </w:numPr>
        <w:spacing w:after="200" w:before="0"/>
        <w:jc w:val="left"/>
      </w:pPr>
      <w:r>
        <w:rPr>
          <w:rFonts w:ascii="Arial" w:cs="Arial" w:eastAsia="Arial" w:hAnsi="Arial"/>
          <w:b/>
          <w:bCs/>
          <w:color w:val="333333"/>
          <w:sz w:val="24"/>
          <w:szCs w:val="24"/>
        </w:rPr>
        <w:t xml:space="preserve">Halawi et al. (2024, NeurIPS): </w:t>
      </w:r>
      <w:r>
        <w:rPr>
          <w:rFonts w:ascii="Arial" w:cs="Arial" w:eastAsia="Arial" w:hAnsi="Arial"/>
          <w:color w:val="333333"/>
          <w:sz w:val="24"/>
          <w:szCs w:val="24"/>
        </w:rPr>
        <w:t xml:space="preserve">An “LLM crowd” of multiple AI models was statistically equivalent to a human crowd of forecasters, validating the fundamental approach.</w:t>
      </w:r>
    </w:p>
    <w:p>
      <w:pPr>
        <w:pStyle w:val="ListParagraph"/>
        <w:numPr>
          <w:ilvl w:val="0"/>
          <w:numId w:val="2"/>
        </w:numPr>
        <w:spacing w:after="200" w:before="0"/>
        <w:jc w:val="left"/>
      </w:pPr>
      <w:r>
        <w:rPr>
          <w:rFonts w:ascii="Arial" w:cs="Arial" w:eastAsia="Arial" w:hAnsi="Arial"/>
          <w:b/>
          <w:bCs/>
          <w:color w:val="333333"/>
          <w:sz w:val="24"/>
          <w:szCs w:val="24"/>
        </w:rPr>
        <w:t xml:space="preserve">Bridgewater’s AIA Forecaster (2025): </w:t>
      </w:r>
      <w:r>
        <w:rPr>
          <w:rFonts w:ascii="Arial" w:cs="Arial" w:eastAsia="Arial" w:hAnsi="Arial"/>
          <w:color w:val="333333"/>
          <w:sz w:val="24"/>
          <w:szCs w:val="24"/>
        </w:rPr>
        <w:t xml:space="preserve">Used Platt-scaling calibration to match superforecaster-level accuracy. We use the same calibration technique.</w:t>
      </w:r>
    </w:p>
    <w:p>
      <w:pPr>
        <w:pStyle w:val="ListParagraph"/>
        <w:numPr>
          <w:ilvl w:val="0"/>
          <w:numId w:val="2"/>
        </w:numPr>
        <w:spacing w:after="200" w:before="0"/>
        <w:jc w:val="left"/>
      </w:pPr>
      <w:r>
        <w:rPr>
          <w:rFonts w:ascii="Arial" w:cs="Arial" w:eastAsia="Arial" w:hAnsi="Arial"/>
          <w:b/>
          <w:bCs/>
          <w:color w:val="333333"/>
          <w:sz w:val="24"/>
          <w:szCs w:val="24"/>
        </w:rPr>
        <w:t xml:space="preserve">Schoenegger (2025): </w:t>
      </w:r>
      <w:r>
        <w:rPr>
          <w:rFonts w:ascii="Arial" w:cs="Arial" w:eastAsia="Arial" w:hAnsi="Arial"/>
          <w:color w:val="333333"/>
          <w:sz w:val="24"/>
          <w:szCs w:val="24"/>
        </w:rPr>
        <w:t xml:space="preserve">Identified that simple, structured prompting outperforms complex approaches. Our system uses this evidence-based methodology.</w:t>
      </w:r>
    </w:p>
    <w:p>
      <w:r>
        <w:br w:type="page"/>
      </w:r>
    </w:p>
    <w:p>
      <w:pPr>
        <w:pStyle w:val="Heading1"/>
        <w:spacing w:after="200" w:before="360"/>
        <w:jc w:val="left"/>
      </w:pPr>
      <w:r>
        <w:rPr>
          <w:rFonts w:ascii="Arial" w:cs="Arial" w:eastAsia="Arial" w:hAnsi="Arial"/>
          <w:b/>
          <w:bCs/>
          <w:i w:val="false"/>
          <w:iCs w:val="false"/>
          <w:color w:val="1B3A5C"/>
          <w:sz w:val="36"/>
          <w:szCs w:val="36"/>
        </w:rPr>
        <w:t xml:space="preserve">3. Our System</w:t>
      </w:r>
    </w:p>
    <w:p>
      <w:pPr>
        <w:spacing w:after="200" w:before="0"/>
        <w:jc w:val="left"/>
      </w:pPr>
      <w:r>
        <w:rPr>
          <w:rFonts w:ascii="Arial" w:cs="Arial" w:eastAsia="Arial" w:hAnsi="Arial"/>
          <w:b w:val="false"/>
          <w:bCs w:val="false"/>
          <w:i w:val="false"/>
          <w:iCs w:val="false"/>
          <w:color w:val="333333"/>
          <w:sz w:val="24"/>
          <w:szCs w:val="24"/>
        </w:rPr>
        <w:t xml:space="preserve">Our system operates 24/7 on a cloud server, scanning prediction markets every 5 minutes and trading automatically when it identifies opportunities. Here’s how the process works:</w:t>
      </w:r>
    </w:p>
    <w:p>
      <w:pPr>
        <w:pStyle w:val="Heading3"/>
        <w:spacing w:after="200" w:before="240"/>
        <w:jc w:val="left"/>
      </w:pPr>
      <w:r>
        <w:rPr>
          <w:rFonts w:ascii="Arial" w:cs="Arial" w:eastAsia="Arial" w:hAnsi="Arial"/>
          <w:b/>
          <w:bCs/>
          <w:i w:val="false"/>
          <w:iCs w:val="false"/>
          <w:color w:val="1B3A5C"/>
          <w:sz w:val="26"/>
          <w:szCs w:val="26"/>
        </w:rPr>
        <w:t xml:space="preserve">The Trading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rPr>
          <w:tblHeader/>
        </w:trP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Step</w:t>
            </w:r>
          </w:p>
        </w:tc>
        <w:tc>
          <w:tcPr>
            <w:tcW w:type="dxa" w:w="4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What Happens</w:t>
            </w:r>
          </w:p>
        </w:tc>
        <w:tc>
          <w:tcPr>
            <w:tcW w:type="dxa" w:w="4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Why It Matters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1. SCAN</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Every 5 minutes, check 100+ active markets on Polymarket (the world’s largest prediction market)</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Ensures we never miss an opportunity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2. ANALYZE</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AI reads each question and estimates the true probability without seeing the market price</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Eliminates anchoring bias — our estimate is independent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3. COMPARE</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If our estimate differs from the market price by more than a threshold, generate a trade signal</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Only trades when there’s meaningful mispricing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4. SIZE</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Calculate bet size using quarter-Kelly criterion — optimizes growth while limiting downside</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Mathematically optimal position sizing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5. TRADE</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Place limit order on Polymarket; auto-cancel after 60 seconds if not filled</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Limit orders = zero taker fees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6. MONITOR</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Track all positions; Telegram alerts on every trade, error, or safety event</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Full transparency, instant notification</w:t>
            </w:r>
          </w:p>
        </w:tc>
      </w:tr>
    </w:tbl>
    <w:p>
      <w:pPr>
        <w:spacing w:after="200"/>
      </w:pPr>
    </w:p>
    <w:p>
      <w:pPr>
        <w:pStyle w:val="Heading3"/>
        <w:spacing w:after="200" w:before="240"/>
        <w:jc w:val="left"/>
      </w:pPr>
      <w:r>
        <w:rPr>
          <w:rFonts w:ascii="Arial" w:cs="Arial" w:eastAsia="Arial" w:hAnsi="Arial"/>
          <w:b/>
          <w:bCs/>
          <w:i w:val="false"/>
          <w:iCs w:val="false"/>
          <w:color w:val="1B3A5C"/>
          <w:sz w:val="26"/>
          <w:szCs w:val="26"/>
        </w:rPr>
        <w:t xml:space="preserve">Risk Management (Safety Rails)</w:t>
      </w:r>
    </w:p>
    <w:p>
      <w:pPr>
        <w:spacing w:after="200" w:before="0"/>
        <w:jc w:val="left"/>
      </w:pPr>
      <w:r>
        <w:rPr>
          <w:rFonts w:ascii="Arial" w:cs="Arial" w:eastAsia="Arial" w:hAnsi="Arial"/>
          <w:b w:val="false"/>
          <w:bCs w:val="false"/>
          <w:i w:val="false"/>
          <w:iCs w:val="false"/>
          <w:color w:val="333333"/>
          <w:sz w:val="24"/>
          <w:szCs w:val="24"/>
        </w:rPr>
        <w:t xml:space="preserve">We take risk management seriously. The system has multiple layers of protection: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B3A5C"/>
                <w:sz w:val="22"/>
                <w:szCs w:val="22"/>
              </w:rPr>
              <w:t xml:space="preserve">Daily Loss Limit</w:t>
            </w:r>
          </w:p>
        </w:tc>
        <w:tc>
          <w:tcPr>
            <w:tcW w:type="dxa" w:w="5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2"/>
                <w:szCs w:val="22"/>
              </w:rPr>
              <w:t xml:space="preserve">$10/day — auto-triggers kill switch if breached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2"/>
                <w:szCs w:val="22"/>
              </w:rPr>
              <w:t xml:space="preserve">Per-Trade Maximum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$5 per position (even if the model suggests more)</w:t>
            </w:r>
          </w:p>
        </w:tc>
      </w:tr>
      <w:tr>
        <w:tc>
          <w:tcPr>
            <w:tcW w:type="dxa" w:w="4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B3A5C"/>
                <w:sz w:val="22"/>
                <w:szCs w:val="22"/>
              </w:rPr>
              <w:t xml:space="preserve">Exposure Cap</w:t>
            </w:r>
          </w:p>
        </w:tc>
        <w:tc>
          <w:tcPr>
            <w:tcW w:type="dxa" w:w="5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2"/>
                <w:szCs w:val="22"/>
              </w:rPr>
              <w:t xml:space="preserve">80% of capital deployed; always keep 20% cash reserve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2"/>
                <w:szCs w:val="22"/>
              </w:rPr>
              <w:t xml:space="preserve">Cooldown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3 consecutive losses triggers a 1-hour automatic pause</w:t>
            </w:r>
          </w:p>
        </w:tc>
      </w:tr>
      <w:tr>
        <w:tc>
          <w:tcPr>
            <w:tcW w:type="dxa" w:w="4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B3A5C"/>
                <w:sz w:val="22"/>
                <w:szCs w:val="22"/>
              </w:rPr>
              <w:t xml:space="preserve">Kill Switch</w:t>
            </w:r>
          </w:p>
        </w:tc>
        <w:tc>
          <w:tcPr>
            <w:tcW w:type="dxa" w:w="5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2"/>
                <w:szCs w:val="22"/>
              </w:rPr>
              <w:t xml:space="preserve">Emergency stop that cancels ALL open orders instantly</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2"/>
                <w:szCs w:val="22"/>
              </w:rPr>
              <w:t xml:space="preserve">Telegram Alerts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Every trade, every error, every safety event — real-time notification</w:t>
            </w:r>
          </w:p>
        </w:tc>
      </w:tr>
      <w:tr>
        <w:tc>
          <w:tcPr>
            <w:tcW w:type="dxa" w:w="4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B3A5C"/>
                <w:sz w:val="22"/>
                <w:szCs w:val="22"/>
              </w:rPr>
              <w:t xml:space="preserve">Position Sizing</w:t>
            </w:r>
          </w:p>
        </w:tc>
        <w:tc>
          <w:tcPr>
            <w:tcW w:type="dxa" w:w="5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2"/>
                <w:szCs w:val="22"/>
              </w:rPr>
              <w:t xml:space="preserve">Quarter-Kelly: mathematically proven to optimize growth/risk tradeoff</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2"/>
                <w:szCs w:val="22"/>
              </w:rPr>
              <w:t xml:space="preserve">Category Routing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Only trades in high-edge categories (politics, weather); skips crypto/sports</w:t>
            </w:r>
          </w:p>
        </w:tc>
      </w:tr>
    </w:tbl>
    <w:p>
      <w:pPr>
        <w:spacing w:after="200"/>
      </w:pPr>
    </w:p>
    <w:p>
      <w:pPr>
        <w:pStyle w:val="Heading3"/>
        <w:spacing w:after="200" w:before="240"/>
        <w:jc w:val="left"/>
      </w:pPr>
      <w:r>
        <w:rPr>
          <w:rFonts w:ascii="Arial" w:cs="Arial" w:eastAsia="Arial" w:hAnsi="Arial"/>
          <w:b/>
          <w:bCs/>
          <w:i w:val="false"/>
          <w:iCs w:val="false"/>
          <w:color w:val="1B3A5C"/>
          <w:sz w:val="26"/>
          <w:szCs w:val="26"/>
        </w:rPr>
        <w:t xml:space="preserve">What Makes Us Different</w:t>
      </w:r>
    </w:p>
    <w:p>
      <w:pPr>
        <w:spacing w:after="200" w:before="0"/>
        <w:jc w:val="left"/>
      </w:pPr>
      <w:r>
        <w:rPr>
          <w:rFonts w:ascii="Arial" w:cs="Arial" w:eastAsia="Arial" w:hAnsi="Arial"/>
          <w:b/>
          <w:bCs/>
          <w:color w:val="333333"/>
          <w:sz w:val="24"/>
          <w:szCs w:val="24"/>
        </w:rPr>
        <w:t xml:space="preserve">Anti-anchoring design: </w:t>
      </w:r>
      <w:r>
        <w:rPr>
          <w:rFonts w:ascii="Arial" w:cs="Arial" w:eastAsia="Arial" w:hAnsi="Arial"/>
          <w:color w:val="333333"/>
          <w:sz w:val="24"/>
          <w:szCs w:val="24"/>
        </w:rPr>
        <w:t xml:space="preserve">Our AI never sees the market price when estimating probability. This is a deliberate architectural choice — most forecasters (human and AI) unconsciously anchor to whatever number they see first.</w:t>
      </w:r>
    </w:p>
    <w:p>
      <w:pPr>
        <w:spacing w:after="200" w:before="0"/>
        <w:jc w:val="left"/>
      </w:pPr>
      <w:r>
        <w:rPr>
          <w:rFonts w:ascii="Arial" w:cs="Arial" w:eastAsia="Arial" w:hAnsi="Arial"/>
          <w:b/>
          <w:bCs/>
          <w:color w:val="333333"/>
          <w:sz w:val="24"/>
          <w:szCs w:val="24"/>
        </w:rPr>
        <w:t xml:space="preserve">Calibration layer: </w:t>
      </w:r>
      <w:r>
        <w:rPr>
          <w:rFonts w:ascii="Arial" w:cs="Arial" w:eastAsia="Arial" w:hAnsi="Arial"/>
          <w:color w:val="333333"/>
          <w:sz w:val="24"/>
          <w:szCs w:val="24"/>
        </w:rPr>
        <w:t xml:space="preserve">Raw AI probability estimates are systematically overconfident. We apply Platt scaling — a statistical correction validated on held-out test data — to improve accuracy. This alone boosted our win rate from 64.9% to 68.5%.</w:t>
      </w:r>
    </w:p>
    <w:p>
      <w:pPr>
        <w:spacing w:after="200" w:before="0"/>
        <w:jc w:val="left"/>
      </w:pPr>
      <w:r>
        <w:rPr>
          <w:rFonts w:ascii="Arial" w:cs="Arial" w:eastAsia="Arial" w:hAnsi="Arial"/>
          <w:b/>
          <w:bCs/>
          <w:color w:val="333333"/>
          <w:sz w:val="24"/>
          <w:szCs w:val="24"/>
        </w:rPr>
        <w:t xml:space="preserve">Evidence-based prompt design: </w:t>
      </w:r>
      <w:r>
        <w:rPr>
          <w:rFonts w:ascii="Arial" w:cs="Arial" w:eastAsia="Arial" w:hAnsi="Arial"/>
          <w:color w:val="333333"/>
          <w:sz w:val="24"/>
          <w:szCs w:val="24"/>
        </w:rPr>
        <w:t xml:space="preserve">Our AI prompt is built on academic research showing which reasoning techniques actually improve forecasting (base-rate-first reasoning) and which hurt it (Bayesian prompting, chain-of-thought). We use only what the evidence supports.</w:t>
      </w:r>
    </w:p>
    <w:p>
      <w:r>
        <w:br w:type="page"/>
      </w:r>
    </w:p>
    <w:p>
      <w:pPr>
        <w:pStyle w:val="Heading1"/>
        <w:spacing w:after="200" w:before="360"/>
        <w:jc w:val="left"/>
      </w:pPr>
      <w:r>
        <w:rPr>
          <w:rFonts w:ascii="Arial" w:cs="Arial" w:eastAsia="Arial" w:hAnsi="Arial"/>
          <w:b/>
          <w:bCs/>
          <w:i w:val="false"/>
          <w:iCs w:val="false"/>
          <w:color w:val="1B3A5C"/>
          <w:sz w:val="36"/>
          <w:szCs w:val="36"/>
        </w:rPr>
        <w:t xml:space="preserve">4. Performance</w:t>
      </w:r>
    </w:p>
    <w:p>
      <w:pPr>
        <w:pBdr>
          <w:left w:val="single" w:color="2E75B6" w:sz="12" w:space="8"/>
        </w:pBdr>
        <w:spacing w:after="200" w:before="200"/>
        <w:ind w:left="360" w:right="360"/>
      </w:pPr>
      <w:r>
        <w:rPr>
          <w:rFonts w:ascii="Arial" w:cs="Arial" w:eastAsia="Arial" w:hAnsi="Arial"/>
          <w:i/>
          <w:iCs/>
          <w:color w:val="666666"/>
          <w:sz w:val="22"/>
          <w:szCs w:val="22"/>
        </w:rPr>
        <w:t xml:space="preserve">IMPORTANT: All performance results in this section are from BACKTESTED / SIMULATED trading. They do not represent actual trading with real money. Backtested results are developed with the benefit of hindsight — we know the outcomes. Live trading results may differ materially. These numbers illustrate potential, not predictions.</w:t>
      </w:r>
    </w:p>
    <w:p>
      <w:pPr>
        <w:pStyle w:val="Heading2"/>
        <w:spacing w:after="200" w:before="240"/>
        <w:jc w:val="left"/>
      </w:pPr>
      <w:r>
        <w:rPr>
          <w:rFonts w:ascii="Arial" w:cs="Arial" w:eastAsia="Arial" w:hAnsi="Arial"/>
          <w:b/>
          <w:bCs/>
          <w:i w:val="false"/>
          <w:iCs w:val="false"/>
          <w:color w:val="1B3A5C"/>
          <w:sz w:val="30"/>
          <w:szCs w:val="30"/>
        </w:rPr>
        <w:t xml:space="preserve">Backtest Results (532 Markets)</w:t>
      </w:r>
    </w:p>
    <w:p>
      <w:pPr>
        <w:spacing w:after="200" w:before="0"/>
        <w:jc w:val="left"/>
      </w:pPr>
      <w:r>
        <w:rPr>
          <w:rFonts w:ascii="Arial" w:cs="Arial" w:eastAsia="Arial" w:hAnsi="Arial"/>
          <w:b w:val="false"/>
          <w:bCs w:val="false"/>
          <w:i w:val="false"/>
          <w:iCs w:val="false"/>
          <w:color w:val="333333"/>
          <w:sz w:val="24"/>
          <w:szCs w:val="24"/>
        </w:rPr>
        <w:t xml:space="preserve">We tested our system on 532 prediction markets that have already resolved, using calibrated probability estimates. The AI estimated probabilities without seeing market prices, and we simulated what would have happened if we had traded on those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Metric</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Uncalibrated</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Calibrated v2 (Platt)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Markets tested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532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532</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Markets with signal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470 (88%)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372 (70%)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Win rate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64.9%</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68.5%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Buy YES win rate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55.8%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63.3%</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Buy NO win rate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76.2%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70.2%</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Brier score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0.239</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0.217</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Avg P&amp;L per trade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+$0.60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+$0.74</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Total simulated P&amp;L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+$280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+$276</w:t>
            </w:r>
          </w:p>
        </w:tc>
      </w:tr>
    </w:tbl>
    <w:p>
      <w:pPr>
        <w:spacing w:after="100"/>
      </w:pPr>
    </w:p>
    <w:p>
      <w:pPr>
        <w:spacing w:after="200" w:before="0"/>
        <w:jc w:val="left"/>
      </w:pPr>
      <w:r>
        <w:rPr>
          <w:rFonts w:ascii="Arial" w:cs="Arial" w:eastAsia="Arial" w:hAnsi="Arial"/>
          <w:b/>
          <w:bCs/>
          <w:color w:val="333333"/>
          <w:sz w:val="24"/>
          <w:szCs w:val="24"/>
        </w:rPr>
        <w:t xml:space="preserve">About the Brier score: </w:t>
      </w:r>
      <w:r>
        <w:rPr>
          <w:rFonts w:ascii="Arial" w:cs="Arial" w:eastAsia="Arial" w:hAnsi="Arial"/>
          <w:color w:val="333333"/>
          <w:sz w:val="24"/>
          <w:szCs w:val="24"/>
        </w:rPr>
        <w:t xml:space="preserve">The Brier score measures probability accuracy on a 0–1 scale (lower is better). Random guessing = 0.25. Our calibrated score of 0.217 means our probability estimates are meaningfully better than random, though far from perfect. For reference, top human superforecasters achieve Brier scores around 0.15–0.20.</w:t>
      </w:r>
    </w:p>
    <w:p>
      <w:pPr>
        <w:spacing w:after="100"/>
      </w:pPr>
    </w:p>
    <w:p>
      <w:pPr>
        <w:pStyle w:val="Heading3"/>
        <w:spacing w:after="200" w:before="240"/>
        <w:jc w:val="left"/>
      </w:pPr>
      <w:r>
        <w:rPr>
          <w:rFonts w:ascii="Arial" w:cs="Arial" w:eastAsia="Arial" w:hAnsi="Arial"/>
          <w:b/>
          <w:bCs/>
          <w:i w:val="false"/>
          <w:iCs w:val="false"/>
          <w:color w:val="1B3A5C"/>
          <w:sz w:val="26"/>
          <w:szCs w:val="26"/>
        </w:rPr>
        <w:t xml:space="preserve">[CHART: Equity Curve — Simulated Portfolio Growth]</w:t>
      </w:r>
    </w:p>
    <w:p>
      <w:pPr>
        <w:spacing w:after="200" w:before="0"/>
        <w:jc w:val="left"/>
      </w:pPr>
      <w:r>
        <w:rPr>
          <w:rFonts w:ascii="Arial" w:cs="Arial" w:eastAsia="Arial" w:hAnsi="Arial"/>
          <w:b w:val="false"/>
          <w:bCs w:val="false"/>
          <w:i/>
          <w:iCs/>
          <w:color w:val="666666"/>
          <w:sz w:val="24"/>
          <w:szCs w:val="24"/>
        </w:rPr>
        <w:t xml:space="preserve">Chart placeholder: Shows portfolio value from $75 starting capital across 372 backtest trades, demonstrating the compounding effect of the strategy.</w:t>
      </w:r>
    </w:p>
    <w:p>
      <w:pPr>
        <w:pStyle w:val="Heading3"/>
        <w:spacing w:after="200" w:before="240"/>
        <w:jc w:val="left"/>
      </w:pPr>
      <w:r>
        <w:rPr>
          <w:rFonts w:ascii="Arial" w:cs="Arial" w:eastAsia="Arial" w:hAnsi="Arial"/>
          <w:b/>
          <w:bCs/>
          <w:i w:val="false"/>
          <w:iCs w:val="false"/>
          <w:color w:val="1B3A5C"/>
          <w:sz w:val="26"/>
          <w:szCs w:val="26"/>
        </w:rPr>
        <w:t xml:space="preserve">[CHART: Monthly Returns Distribution]</w:t>
      </w:r>
    </w:p>
    <w:p>
      <w:pPr>
        <w:spacing w:after="200" w:before="0"/>
        <w:jc w:val="left"/>
      </w:pPr>
      <w:r>
        <w:rPr>
          <w:rFonts w:ascii="Arial" w:cs="Arial" w:eastAsia="Arial" w:hAnsi="Arial"/>
          <w:b w:val="false"/>
          <w:bCs w:val="false"/>
          <w:i/>
          <w:iCs/>
          <w:color w:val="666666"/>
          <w:sz w:val="24"/>
          <w:szCs w:val="24"/>
        </w:rPr>
        <w:t xml:space="preserve">Chart placeholder: Histogram of simulated monthly returns showing the distribution of outcomes.</w:t>
      </w:r>
    </w:p>
    <w:p>
      <w:pPr>
        <w:pStyle w:val="Heading3"/>
        <w:spacing w:after="200" w:before="240"/>
        <w:jc w:val="left"/>
      </w:pPr>
      <w:r>
        <w:rPr>
          <w:rFonts w:ascii="Arial" w:cs="Arial" w:eastAsia="Arial" w:hAnsi="Arial"/>
          <w:b/>
          <w:bCs/>
          <w:i w:val="false"/>
          <w:iCs w:val="false"/>
          <w:color w:val="1B3A5C"/>
          <w:sz w:val="26"/>
          <w:szCs w:val="26"/>
        </w:rPr>
        <w:t xml:space="preserve">[CHART: Win Rate by Category]</w:t>
      </w:r>
    </w:p>
    <w:p>
      <w:pPr>
        <w:spacing w:after="200" w:before="0"/>
        <w:jc w:val="left"/>
      </w:pPr>
      <w:r>
        <w:rPr>
          <w:rFonts w:ascii="Arial" w:cs="Arial" w:eastAsia="Arial" w:hAnsi="Arial"/>
          <w:b w:val="false"/>
          <w:bCs w:val="false"/>
          <w:i/>
          <w:iCs/>
          <w:color w:val="666666"/>
          <w:sz w:val="24"/>
          <w:szCs w:val="24"/>
        </w:rPr>
        <w:t xml:space="preserve">Chart placeholder: Bar chart showing win rate by market category (Politics, Weather, Economics, etc.)</w:t>
      </w:r>
    </w:p>
    <w:p>
      <w:pPr>
        <w:pStyle w:val="Heading2"/>
        <w:spacing w:after="200" w:before="240"/>
        <w:jc w:val="left"/>
      </w:pPr>
      <w:r>
        <w:rPr>
          <w:rFonts w:ascii="Arial" w:cs="Arial" w:eastAsia="Arial" w:hAnsi="Arial"/>
          <w:b/>
          <w:bCs/>
          <w:i w:val="false"/>
          <w:iCs w:val="false"/>
          <w:color w:val="1B3A5C"/>
          <w:sz w:val="30"/>
          <w:szCs w:val="30"/>
        </w:rPr>
        <w:t xml:space="preserve">Monte Carlo Projections</w:t>
      </w:r>
    </w:p>
    <w:p>
      <w:pPr>
        <w:spacing w:after="200" w:before="0"/>
        <w:jc w:val="left"/>
      </w:pPr>
      <w:r>
        <w:rPr>
          <w:rFonts w:ascii="Arial" w:cs="Arial" w:eastAsia="Arial" w:hAnsi="Arial"/>
          <w:b w:val="false"/>
          <w:bCs w:val="false"/>
          <w:i w:val="false"/>
          <w:iCs w:val="false"/>
          <w:color w:val="333333"/>
          <w:sz w:val="24"/>
          <w:szCs w:val="24"/>
        </w:rPr>
        <w:t xml:space="preserve">To understand the range of possible outcomes, we ran 10,000 computer simulations of the next 12 months, randomly sampling from our actual backtest results each time. Here are projections at multiple capital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1900"/>
        <w:gridCol w:w="2200"/>
        <w:gridCol w:w="1360"/>
      </w:tblGrid>
      <w:tr>
        <w:trPr>
          <w:tblHeader/>
        </w:trPr>
        <w:tc>
          <w:tcPr>
            <w:tcW w:type="dxa" w:w="1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Starting Capital</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5th %ile (Worst Realistic)</w:t>
            </w:r>
          </w:p>
        </w:tc>
        <w:tc>
          <w:tcPr>
            <w:tcW w:type="dxa" w:w="1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Median</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95th %ile (Best Realistic)</w:t>
            </w:r>
          </w:p>
        </w:tc>
        <w:tc>
          <w:tcPr>
            <w:tcW w:type="dxa" w:w="1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P(Loss)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$75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$782 (+942%)</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$918 (+1,124%)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$1,054 (+1,305%)</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0.0%</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$1,000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$4,460 (+346%)</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$5,107 (+411%)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$5,720 (+472%)</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0.0%</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$5,000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$16,750 (+235%)</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$18,450 (+269%)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$20,100 (+302%)</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0.0%</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$10,000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$33,507 (+235%)</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$36,907 (+269%)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$40,207 (+302%)</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0.0%</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$25,000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$83,750 (+235%)</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$92,250 (+269%)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$100,500 (+302%)</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0.0%</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$50,000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$167,500 (+235%)</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$184,500 (+269%)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$201,000 (+302%)</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0.0%</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$100,000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$335,000 (+235%)</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$369,000 (+269%)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$402,000 (+302%)</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0.0%</w:t>
            </w:r>
          </w:p>
        </w:tc>
      </w:tr>
    </w:tbl>
    <w:p>
      <w:pPr>
        <w:spacing w:after="100"/>
      </w:pPr>
    </w:p>
    <w:p>
      <w:pPr>
        <w:pBdr>
          <w:left w:val="single" w:color="2E75B6" w:sz="12" w:space="8"/>
        </w:pBdr>
        <w:spacing w:after="200" w:before="200"/>
        <w:ind w:left="360" w:right="360"/>
      </w:pPr>
      <w:r>
        <w:rPr>
          <w:rFonts w:ascii="Arial" w:cs="Arial" w:eastAsia="Arial" w:hAnsi="Arial"/>
          <w:i/>
          <w:iCs/>
          <w:color w:val="666666"/>
          <w:sz w:val="22"/>
          <w:szCs w:val="22"/>
        </w:rPr>
        <w:t xml:space="preserve">CRITICAL CAVEAT: These projections assume future conditions resemble the backtest period. They do NOT account for increased competition, reduced market inefficiency, execution challenges, or black swan events. The 0% loss probability reflects simulation parameters, not a guarantee. Actual returns could be significantly lower, and the fund could lose money.</w:t>
      </w:r>
    </w:p>
    <w:p>
      <w:pPr>
        <w:pStyle w:val="Heading2"/>
        <w:spacing w:after="200" w:before="240"/>
        <w:jc w:val="left"/>
      </w:pPr>
      <w:r>
        <w:rPr>
          <w:rFonts w:ascii="Arial" w:cs="Arial" w:eastAsia="Arial" w:hAnsi="Arial"/>
          <w:b/>
          <w:bCs/>
          <w:i w:val="false"/>
          <w:iCs w:val="false"/>
          <w:color w:val="1B3A5C"/>
          <w:sz w:val="30"/>
          <w:szCs w:val="30"/>
        </w:rPr>
        <w:t xml:space="preserve">Comparison to Traditional Investments</w:t>
      </w:r>
    </w:p>
    <w:p>
      <w:pPr>
        <w:spacing w:after="200" w:before="0"/>
        <w:jc w:val="left"/>
      </w:pPr>
      <w:r>
        <w:rPr>
          <w:rFonts w:ascii="Arial" w:cs="Arial" w:eastAsia="Arial" w:hAnsi="Arial"/>
          <w:b w:val="false"/>
          <w:bCs w:val="false"/>
          <w:i w:val="false"/>
          <w:iCs w:val="false"/>
          <w:color w:val="333333"/>
          <w:sz w:val="24"/>
          <w:szCs w:val="24"/>
        </w:rPr>
        <w:t xml:space="preserve">For context, here is how our backtested returns compare to traditional investments (using approximate historical annual returns):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700"/>
        <w:gridCol w:w="36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Investment</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Typical Annual Return</w:t>
            </w:r>
          </w:p>
        </w:tc>
        <w:tc>
          <w:tcPr>
            <w:tcW w:type="dxa" w:w="1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Volatility</w:t>
            </w:r>
          </w:p>
        </w:tc>
        <w:tc>
          <w:tcPr>
            <w:tcW w:type="dxa" w:w="3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S&amp;P 500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~10%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~15%</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Long-term average; widely diversified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Bitcoin (BTC)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~50-100% (variable)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~60-80%</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Extremely volatile; recent years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High-Yield Bonds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~5-7%</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~8-10%</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Income-focused; credit risk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10-Year Treasury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~4-5%</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~5-8%</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Low risk; inflation risk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Predictive Alpha (backtest)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~269% median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~20-30%</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SIMULATED; not live; high uncertainty</w:t>
            </w:r>
          </w:p>
        </w:tc>
      </w:tr>
    </w:tbl>
    <w:p>
      <w:pPr>
        <w:spacing w:after="100"/>
      </w:pPr>
    </w:p>
    <w:p>
      <w:pPr>
        <w:pBdr>
          <w:left w:val="single" w:color="2E75B6" w:sz="12" w:space="8"/>
        </w:pBdr>
        <w:spacing w:after="200" w:before="200"/>
        <w:ind w:left="360" w:right="360"/>
      </w:pPr>
      <w:r>
        <w:rPr>
          <w:rFonts w:ascii="Arial" w:cs="Arial" w:eastAsia="Arial" w:hAnsi="Arial"/>
          <w:i/>
          <w:iCs/>
          <w:color w:val="666666"/>
          <w:sz w:val="22"/>
          <w:szCs w:val="22"/>
        </w:rPr>
        <w:t xml:space="preserve">These comparisons are for illustrative purposes only. Predictive Alpha’s returns are backtested and not directly comparable to realized returns of established asset classes. Our actual live returns are unknown and may be substantially lower.</w:t>
      </w:r>
    </w:p>
    <w:p>
      <w:r>
        <w:br w:type="page"/>
      </w:r>
    </w:p>
    <w:p>
      <w:pPr>
        <w:pStyle w:val="Heading1"/>
        <w:spacing w:after="200" w:before="360"/>
        <w:jc w:val="left"/>
      </w:pPr>
      <w:r>
        <w:rPr>
          <w:rFonts w:ascii="Arial" w:cs="Arial" w:eastAsia="Arial" w:hAnsi="Arial"/>
          <w:b/>
          <w:bCs/>
          <w:i w:val="false"/>
          <w:iCs w:val="false"/>
          <w:color w:val="1B3A5C"/>
          <w:sz w:val="36"/>
          <w:szCs w:val="36"/>
        </w:rPr>
        <w:t xml:space="preserve">5. Fund Structure</w:t>
      </w:r>
    </w:p>
    <w:p>
      <w:pPr>
        <w:pStyle w:val="Heading2"/>
        <w:spacing w:after="200" w:before="240"/>
        <w:jc w:val="left"/>
      </w:pPr>
      <w:r>
        <w:rPr>
          <w:rFonts w:ascii="Arial" w:cs="Arial" w:eastAsia="Arial" w:hAnsi="Arial"/>
          <w:b/>
          <w:bCs/>
          <w:i w:val="false"/>
          <w:iCs w:val="false"/>
          <w:color w:val="1B3A5C"/>
          <w:sz w:val="30"/>
          <w:szCs w:val="30"/>
        </w:rPr>
        <w:t xml:space="preserve">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B3A5C"/>
                <w:sz w:val="22"/>
                <w:szCs w:val="22"/>
              </w:rPr>
              <w:t xml:space="preserve">Entity</w:t>
            </w:r>
          </w:p>
        </w:tc>
        <w:tc>
          <w:tcPr>
            <w:tcW w:type="dxa" w:w="5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2"/>
                <w:szCs w:val="22"/>
              </w:rPr>
              <w:t xml:space="preserve">LLC taxed as partnership</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2"/>
                <w:szCs w:val="22"/>
              </w:rPr>
              <w:t xml:space="preserve">Offering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Reg D 506(b) — friends and family; up to 35 non-accredited investors</w:t>
            </w:r>
          </w:p>
        </w:tc>
      </w:tr>
      <w:tr>
        <w:tc>
          <w:tcPr>
            <w:tcW w:type="dxa" w:w="4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B3A5C"/>
                <w:sz w:val="22"/>
                <w:szCs w:val="22"/>
              </w:rPr>
              <w:t xml:space="preserve">Management Fee</w:t>
            </w:r>
          </w:p>
        </w:tc>
        <w:tc>
          <w:tcPr>
            <w:tcW w:type="dxa" w:w="5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2"/>
                <w:szCs w:val="22"/>
              </w:rPr>
              <w:t xml:space="preserve">0% (we charge nothing for managing your money)</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2"/>
                <w:szCs w:val="22"/>
              </w:rPr>
              <w:t xml:space="preserve">Performance Fee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30% of net profits above high-water mark, charged quarterly</w:t>
            </w:r>
          </w:p>
        </w:tc>
      </w:tr>
      <w:tr>
        <w:tc>
          <w:tcPr>
            <w:tcW w:type="dxa" w:w="4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B3A5C"/>
                <w:sz w:val="22"/>
                <w:szCs w:val="22"/>
              </w:rPr>
              <w:t xml:space="preserve">Minimum Investment</w:t>
            </w:r>
          </w:p>
        </w:tc>
        <w:tc>
          <w:tcPr>
            <w:tcW w:type="dxa" w:w="5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2"/>
                <w:szCs w:val="22"/>
              </w:rPr>
              <w:t xml:space="preserve">$1,000 (reduced to $500 with side letter for close friends/family)</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2"/>
                <w:szCs w:val="22"/>
              </w:rPr>
              <w:t xml:space="preserve">Lock-Up Period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90 days from date of investment</w:t>
            </w:r>
          </w:p>
        </w:tc>
      </w:tr>
      <w:tr>
        <w:tc>
          <w:tcPr>
            <w:tcW w:type="dxa" w:w="4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B3A5C"/>
                <w:sz w:val="22"/>
                <w:szCs w:val="22"/>
              </w:rPr>
              <w:t xml:space="preserve">Withdrawal Notice</w:t>
            </w:r>
          </w:p>
        </w:tc>
        <w:tc>
          <w:tcPr>
            <w:tcW w:type="dxa" w:w="5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2"/>
                <w:szCs w:val="22"/>
              </w:rPr>
              <w:t xml:space="preserve">30 days written notice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2"/>
                <w:szCs w:val="22"/>
              </w:rPr>
              <w:t xml:space="preserve">Withdrawal Windows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Quarterly (Mar 31, Jun 30, Sep 30, Dec 31)</w:t>
            </w:r>
          </w:p>
        </w:tc>
      </w:tr>
      <w:tr>
        <w:tc>
          <w:tcPr>
            <w:tcW w:type="dxa" w:w="4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B3A5C"/>
                <w:sz w:val="22"/>
                <w:szCs w:val="22"/>
              </w:rPr>
              <w:t xml:space="preserve">Regulatory</w:t>
            </w:r>
          </w:p>
        </w:tc>
        <w:tc>
          <w:tcPr>
            <w:tcW w:type="dxa" w:w="5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2"/>
                <w:szCs w:val="22"/>
              </w:rPr>
              <w:t xml:space="preserve">SEC Form D filed within 15 days of first sale; CFTC Rule 4.13 exemption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2"/>
                <w:szCs w:val="22"/>
              </w:rPr>
              <w:t xml:space="preserve">Tax Reporting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IRS Form 1065; K-1 issued to each investor annually</w:t>
            </w:r>
          </w:p>
        </w:tc>
      </w:tr>
    </w:tbl>
    <w:p>
      <w:pPr>
        <w:spacing w:after="200"/>
      </w:pPr>
    </w:p>
    <w:p>
      <w:pPr>
        <w:pStyle w:val="Heading3"/>
        <w:spacing w:after="200" w:before="240"/>
        <w:jc w:val="left"/>
      </w:pPr>
      <w:r>
        <w:rPr>
          <w:rFonts w:ascii="Arial" w:cs="Arial" w:eastAsia="Arial" w:hAnsi="Arial"/>
          <w:b/>
          <w:bCs/>
          <w:i w:val="false"/>
          <w:iCs w:val="false"/>
          <w:color w:val="1B3A5C"/>
          <w:sz w:val="26"/>
          <w:szCs w:val="26"/>
        </w:rPr>
        <w:t xml:space="preserve">How the High-Water Mark Works</w:t>
      </w:r>
    </w:p>
    <w:p>
      <w:pPr>
        <w:spacing w:after="200" w:before="0"/>
        <w:jc w:val="left"/>
      </w:pPr>
      <w:r>
        <w:rPr>
          <w:rFonts w:ascii="Arial" w:cs="Arial" w:eastAsia="Arial" w:hAnsi="Arial"/>
          <w:b w:val="false"/>
          <w:bCs w:val="false"/>
          <w:i w:val="false"/>
          <w:iCs w:val="false"/>
          <w:color w:val="333333"/>
          <w:sz w:val="24"/>
          <w:szCs w:val="24"/>
        </w:rPr>
        <w:t xml:space="preserve">The high-water mark protects you from paying performance fees on recovered losses. If the fund grows from $10,000 to $12,000, we earn 30% of the $2,000 profit ($600). If it then drops to $10,000 and recovers back to $12,000, we earn nothing on the recovery. We only earn performance fees on NEW profits above the previous peak.</w:t>
      </w:r>
    </w:p>
    <w:p>
      <w:pPr>
        <w:pStyle w:val="Heading3"/>
        <w:spacing w:after="200" w:before="240"/>
        <w:jc w:val="left"/>
      </w:pPr>
      <w:r>
        <w:rPr>
          <w:rFonts w:ascii="Arial" w:cs="Arial" w:eastAsia="Arial" w:hAnsi="Arial"/>
          <w:b/>
          <w:bCs/>
          <w:i w:val="false"/>
          <w:iCs w:val="false"/>
          <w:color w:val="1B3A5C"/>
          <w:sz w:val="26"/>
          <w:szCs w:val="26"/>
        </w:rPr>
        <w:t xml:space="preserve">Worked Example</w:t>
      </w:r>
    </w:p>
    <w:p>
      <w:pPr>
        <w:spacing w:after="200" w:before="0"/>
        <w:jc w:val="left"/>
      </w:pPr>
      <w:r>
        <w:rPr>
          <w:rFonts w:ascii="Arial" w:cs="Arial" w:eastAsia="Arial" w:hAnsi="Arial"/>
          <w:b w:val="false"/>
          <w:bCs w:val="false"/>
          <w:i w:val="false"/>
          <w:iCs w:val="false"/>
          <w:color w:val="333333"/>
          <w:sz w:val="24"/>
          <w:szCs w:val="24"/>
        </w:rPr>
        <w:t xml:space="preserve">You invest $5,000. After 6 months, it grows to $7,500. Your profit is $2,500. Our performance fee is 30% × $2,500 = $750. Your net profit: $1,750 (35% return). If the fund then drops to $6,000, we earn nothing until it passes $7,500 again.</w:t>
      </w:r>
    </w:p>
    <w:p>
      <w:r>
        <w:br w:type="page"/>
      </w:r>
    </w:p>
    <w:p>
      <w:pPr>
        <w:pStyle w:val="Heading1"/>
        <w:spacing w:after="200" w:before="360"/>
        <w:jc w:val="left"/>
      </w:pPr>
      <w:r>
        <w:rPr>
          <w:rFonts w:ascii="Arial" w:cs="Arial" w:eastAsia="Arial" w:hAnsi="Arial"/>
          <w:b/>
          <w:bCs/>
          <w:i w:val="false"/>
          <w:iCs w:val="false"/>
          <w:color w:val="1B3A5C"/>
          <w:sz w:val="36"/>
          <w:szCs w:val="36"/>
        </w:rPr>
        <w:t xml:space="preserve">6. Risk Factors</w:t>
      </w:r>
    </w:p>
    <w:p>
      <w:pPr>
        <w:spacing w:after="200" w:before="0"/>
        <w:jc w:val="left"/>
      </w:pPr>
      <w:r>
        <w:rPr>
          <w:rFonts w:ascii="Arial" w:cs="Arial" w:eastAsia="Arial" w:hAnsi="Arial"/>
          <w:b/>
          <w:bCs/>
          <w:color w:val="333333"/>
          <w:sz w:val="24"/>
          <w:szCs w:val="24"/>
        </w:rPr>
        <w:t xml:space="preserve">Please read these carefully. </w:t>
      </w:r>
      <w:r>
        <w:rPr>
          <w:rFonts w:ascii="Arial" w:cs="Arial" w:eastAsia="Arial" w:hAnsi="Arial"/>
          <w:color w:val="333333"/>
          <w:sz w:val="24"/>
          <w:szCs w:val="24"/>
        </w:rPr>
        <w:t xml:space="preserve">This is friends and family money, and we take that responsibility seriously. We want you to understand every risk before you invest.</w:t>
      </w:r>
    </w:p>
    <w:p>
      <w:pPr>
        <w:spacing w:after="100"/>
      </w:pPr>
    </w:p>
    <w:p>
      <w:pPr>
        <w:pStyle w:val="ListParagraph"/>
        <w:numPr>
          <w:ilvl w:val="0"/>
          <w:numId w:val="3"/>
        </w:numPr>
        <w:spacing w:after="200" w:before="0"/>
        <w:jc w:val="left"/>
      </w:pPr>
      <w:r>
        <w:rPr>
          <w:rFonts w:ascii="Arial" w:cs="Arial" w:eastAsia="Arial" w:hAnsi="Arial"/>
          <w:b/>
          <w:bCs/>
          <w:color w:val="333333"/>
          <w:sz w:val="24"/>
          <w:szCs w:val="24"/>
        </w:rPr>
        <w:t xml:space="preserve">No Live Track Record (Most Important). </w:t>
      </w:r>
      <w:r>
        <w:rPr>
          <w:rFonts w:ascii="Arial" w:cs="Arial" w:eastAsia="Arial" w:hAnsi="Arial"/>
          <w:color w:val="333333"/>
          <w:sz w:val="24"/>
          <w:szCs w:val="24"/>
        </w:rPr>
        <w:t xml:space="preserve">As of March 2026, we have NOT executed real trades with real money. All performance in this report is simulated. Until the system proves itself with actual capital, every claim is theoretical. This is the single biggest risk factor.</w:t>
      </w:r>
    </w:p>
    <w:p>
      <w:pPr>
        <w:spacing w:after="200" w:before="0"/>
        <w:jc w:val="left"/>
      </w:pPr>
      <w:r>
        <w:rPr>
          <w:rFonts w:ascii="Arial" w:cs="Arial" w:eastAsia="Arial" w:hAnsi="Arial"/>
          <w:b/>
          <w:bCs/>
          <w:color w:val="333333"/>
          <w:sz w:val="24"/>
          <w:szCs w:val="24"/>
        </w:rPr>
        <w:t xml:space="preserve">Backtest ≠ Live Performance. </w:t>
      </w:r>
      <w:r>
        <w:rPr>
          <w:rFonts w:ascii="Arial" w:cs="Arial" w:eastAsia="Arial" w:hAnsi="Arial"/>
          <w:color w:val="333333"/>
          <w:sz w:val="24"/>
          <w:szCs w:val="24"/>
        </w:rPr>
        <w:t xml:space="preserve">Simulated results don’t capture real-world execution challenges: orders may not fill at expected prices (slippage), markets may move before we can trade, and timing differences could significantly reduce returns.</w:t>
      </w:r>
    </w:p>
    <w:p>
      <w:pPr>
        <w:spacing w:after="200" w:before="0"/>
        <w:jc w:val="left"/>
      </w:pPr>
      <w:r>
        <w:rPr>
          <w:rFonts w:ascii="Arial" w:cs="Arial" w:eastAsia="Arial" w:hAnsi="Arial"/>
          <w:b/>
          <w:bCs/>
          <w:color w:val="333333"/>
          <w:sz w:val="24"/>
          <w:szCs w:val="24"/>
        </w:rPr>
        <w:t xml:space="preserve">AI Overconfidence. </w:t>
      </w:r>
      <w:r>
        <w:rPr>
          <w:rFonts w:ascii="Arial" w:cs="Arial" w:eastAsia="Arial" w:hAnsi="Arial"/>
          <w:color w:val="333333"/>
          <w:sz w:val="24"/>
          <w:szCs w:val="24"/>
        </w:rPr>
        <w:t xml:space="preserve">Our Brier score of 0.217 is only modestly better than random guessing (0.25). The calibration that improved our win rate was fitted on historical data and may not hold in the future.</w:t>
      </w:r>
    </w:p>
    <w:p>
      <w:pPr>
        <w:spacing w:after="200" w:before="0"/>
        <w:jc w:val="left"/>
      </w:pPr>
      <w:r>
        <w:rPr>
          <w:rFonts w:ascii="Arial" w:cs="Arial" w:eastAsia="Arial" w:hAnsi="Arial"/>
          <w:b/>
          <w:bCs/>
          <w:color w:val="333333"/>
          <w:sz w:val="24"/>
          <w:szCs w:val="24"/>
        </w:rPr>
        <w:t xml:space="preserve">Edge Erosion. </w:t>
      </w:r>
      <w:r>
        <w:rPr>
          <w:rFonts w:ascii="Arial" w:cs="Arial" w:eastAsia="Arial" w:hAnsi="Arial"/>
          <w:color w:val="333333"/>
          <w:sz w:val="24"/>
          <w:szCs w:val="24"/>
        </w:rPr>
        <w:t xml:space="preserve">As more AI traders enter prediction markets, the inefficiencies we exploit could diminish. Our 70.2% NO-bias win rate could erode. The competitive landscape is intensifying rapidly — OpenClaw reportedly earned $115K in one week; open-source bots are proliferating.</w:t>
      </w:r>
    </w:p>
    <w:p>
      <w:pPr>
        <w:spacing w:after="200" w:before="0"/>
        <w:jc w:val="left"/>
      </w:pPr>
      <w:r>
        <w:rPr>
          <w:rFonts w:ascii="Arial" w:cs="Arial" w:eastAsia="Arial" w:hAnsi="Arial"/>
          <w:b/>
          <w:bCs/>
          <w:color w:val="333333"/>
          <w:sz w:val="24"/>
          <w:szCs w:val="24"/>
        </w:rPr>
        <w:t xml:space="preserve">Platform Risk. </w:t>
      </w:r>
      <w:r>
        <w:rPr>
          <w:rFonts w:ascii="Arial" w:cs="Arial" w:eastAsia="Arial" w:hAnsi="Arial"/>
          <w:color w:val="333333"/>
          <w:sz w:val="24"/>
          <w:szCs w:val="24"/>
        </w:rPr>
        <w:t xml:space="preserve">Polymarket is a crypto-based platform with CFTC regulatory history (2022: $1.4M fine). It could face additional regulatory action, technical failures, or liquidity problems.</w:t>
      </w:r>
    </w:p>
    <w:p>
      <w:pPr>
        <w:spacing w:after="200" w:before="0"/>
        <w:jc w:val="left"/>
      </w:pPr>
      <w:r>
        <w:rPr>
          <w:rFonts w:ascii="Arial" w:cs="Arial" w:eastAsia="Arial" w:hAnsi="Arial"/>
          <w:b/>
          <w:bCs/>
          <w:color w:val="333333"/>
          <w:sz w:val="24"/>
          <w:szCs w:val="24"/>
        </w:rPr>
        <w:t xml:space="preserve">Regulatory Uncertainty. </w:t>
      </w:r>
      <w:r>
        <w:rPr>
          <w:rFonts w:ascii="Arial" w:cs="Arial" w:eastAsia="Arial" w:hAnsi="Arial"/>
          <w:color w:val="333333"/>
          <w:sz w:val="24"/>
          <w:szCs w:val="24"/>
        </w:rPr>
        <w:t xml:space="preserve">Prediction market contracts are classified as swaps under the Commodity Exchange Act. Tax treatment of gains is unsettled — could be gambling income (worst), capital gains (better), or Section 1256 60/40 (best).</w:t>
      </w:r>
    </w:p>
    <w:p>
      <w:pPr>
        <w:spacing w:after="200" w:before="0"/>
        <w:jc w:val="left"/>
      </w:pPr>
      <w:r>
        <w:rPr>
          <w:rFonts w:ascii="Arial" w:cs="Arial" w:eastAsia="Arial" w:hAnsi="Arial"/>
          <w:b/>
          <w:bCs/>
          <w:color w:val="333333"/>
          <w:sz w:val="24"/>
          <w:szCs w:val="24"/>
        </w:rPr>
        <w:t xml:space="preserve">Capital Concentration. </w:t>
      </w:r>
      <w:r>
        <w:rPr>
          <w:rFonts w:ascii="Arial" w:cs="Arial" w:eastAsia="Arial" w:hAnsi="Arial"/>
          <w:color w:val="333333"/>
          <w:sz w:val="24"/>
          <w:szCs w:val="24"/>
        </w:rPr>
        <w:t xml:space="preserve">At small fund sizes, a high percentage of capital is deployed across many positions. One bad streak could significantly impact returns.</w:t>
      </w:r>
    </w:p>
    <w:p>
      <w:pPr>
        <w:spacing w:after="200" w:before="0"/>
        <w:jc w:val="left"/>
      </w:pPr>
      <w:r>
        <w:rPr>
          <w:rFonts w:ascii="Arial" w:cs="Arial" w:eastAsia="Arial" w:hAnsi="Arial"/>
          <w:b/>
          <w:bCs/>
          <w:color w:val="333333"/>
          <w:sz w:val="24"/>
          <w:szCs w:val="24"/>
        </w:rPr>
        <w:t xml:space="preserve">Resolution Timing. </w:t>
      </w:r>
      <w:r>
        <w:rPr>
          <w:rFonts w:ascii="Arial" w:cs="Arial" w:eastAsia="Arial" w:hAnsi="Arial"/>
          <w:color w:val="333333"/>
          <w:sz w:val="24"/>
          <w:szCs w:val="24"/>
        </w:rPr>
        <w:t xml:space="preserve">Some markets take months to resolve, locking up capital. This capital inefficiency may reduce returns compared to projections.</w:t>
      </w:r>
    </w:p>
    <w:p>
      <w:pPr>
        <w:spacing w:after="200" w:before="0"/>
        <w:jc w:val="left"/>
      </w:pPr>
      <w:r>
        <w:rPr>
          <w:rFonts w:ascii="Arial" w:cs="Arial" w:eastAsia="Arial" w:hAnsi="Arial"/>
          <w:b/>
          <w:bCs/>
          <w:color w:val="333333"/>
          <w:sz w:val="24"/>
          <w:szCs w:val="24"/>
        </w:rPr>
        <w:t xml:space="preserve">Infrastructure Costs. </w:t>
      </w:r>
      <w:r>
        <w:rPr>
          <w:rFonts w:ascii="Arial" w:cs="Arial" w:eastAsia="Arial" w:hAnsi="Arial"/>
          <w:color w:val="333333"/>
          <w:sz w:val="24"/>
          <w:szCs w:val="24"/>
        </w:rPr>
        <w:t xml:space="preserve">Running costs (~$20–30/month for cloud server + AI API) are a meaningful drag at small capital levels.</w:t>
      </w:r>
    </w:p>
    <w:p>
      <w:pPr>
        <w:spacing w:after="200" w:before="0"/>
        <w:jc w:val="left"/>
      </w:pPr>
      <w:r>
        <w:rPr>
          <w:rFonts w:ascii="Arial" w:cs="Arial" w:eastAsia="Arial" w:hAnsi="Arial"/>
          <w:b/>
          <w:bCs/>
          <w:color w:val="333333"/>
          <w:sz w:val="24"/>
          <w:szCs w:val="24"/>
        </w:rPr>
        <w:t xml:space="preserve">Taker Fees. </w:t>
      </w:r>
      <w:r>
        <w:rPr>
          <w:rFonts w:ascii="Arial" w:cs="Arial" w:eastAsia="Arial" w:hAnsi="Arial"/>
          <w:color w:val="333333"/>
          <w:sz w:val="24"/>
          <w:szCs w:val="24"/>
        </w:rPr>
        <w:t xml:space="preserve">Polymarket charges fees that eat 1–3% of edge per trade, especially near 50/50 pricing.</w:t>
      </w:r>
    </w:p>
    <w:p>
      <w:pPr>
        <w:spacing w:after="200" w:before="0"/>
        <w:jc w:val="left"/>
      </w:pPr>
      <w:r>
        <w:rPr>
          <w:rFonts w:ascii="Arial" w:cs="Arial" w:eastAsia="Arial" w:hAnsi="Arial"/>
          <w:b/>
          <w:bCs/>
          <w:color w:val="333333"/>
          <w:sz w:val="24"/>
          <w:szCs w:val="24"/>
        </w:rPr>
        <w:t xml:space="preserve">Forecasting vs. Arbitrage. </w:t>
      </w:r>
      <w:r>
        <w:rPr>
          <w:rFonts w:ascii="Arial" w:cs="Arial" w:eastAsia="Arial" w:hAnsi="Arial"/>
          <w:color w:val="333333"/>
          <w:sz w:val="24"/>
          <w:szCs w:val="24"/>
        </w:rPr>
        <w:t xml:space="preserve">Most profitable prediction market bots use speed-based arbitrage, not AI forecasting. Our approach is differentiated but unproven at scale.</w:t>
      </w:r>
    </w:p>
    <w:p>
      <w:pPr>
        <w:spacing w:after="200" w:before="0"/>
        <w:jc w:val="left"/>
      </w:pPr>
      <w:r>
        <w:rPr>
          <w:rFonts w:ascii="Arial" w:cs="Arial" w:eastAsia="Arial" w:hAnsi="Arial"/>
          <w:b/>
          <w:bCs/>
          <w:color w:val="333333"/>
          <w:sz w:val="24"/>
          <w:szCs w:val="24"/>
        </w:rPr>
        <w:t xml:space="preserve">Category Limitations. </w:t>
      </w:r>
      <w:r>
        <w:rPr>
          <w:rFonts w:ascii="Arial" w:cs="Arial" w:eastAsia="Arial" w:hAnsi="Arial"/>
          <w:color w:val="333333"/>
          <w:sz w:val="24"/>
          <w:szCs w:val="24"/>
        </w:rPr>
        <w:t xml:space="preserve">We avoid crypto, sports, and Fed rate markets (no AI edge), reducing the opportunity set.</w:t>
      </w:r>
    </w:p>
    <w:p>
      <w:r>
        <w:br w:type="page"/>
      </w:r>
    </w:p>
    <w:p>
      <w:pPr>
        <w:pStyle w:val="Heading1"/>
        <w:spacing w:after="200" w:before="360"/>
        <w:jc w:val="left"/>
      </w:pPr>
      <w:r>
        <w:rPr>
          <w:rFonts w:ascii="Arial" w:cs="Arial" w:eastAsia="Arial" w:hAnsi="Arial"/>
          <w:b/>
          <w:bCs/>
          <w:i w:val="false"/>
          <w:iCs w:val="false"/>
          <w:color w:val="1B3A5C"/>
          <w:sz w:val="36"/>
          <w:szCs w:val="36"/>
        </w:rPr>
        <w:t xml:space="preserve">7. Team</w:t>
      </w:r>
    </w:p>
    <w:p>
      <w:pPr>
        <w:spacing w:after="200" w:before="0"/>
        <w:jc w:val="left"/>
      </w:pPr>
      <w:r>
        <w:rPr>
          <w:rFonts w:ascii="Arial" w:cs="Arial" w:eastAsia="Arial" w:hAnsi="Arial"/>
          <w:b/>
          <w:bCs/>
          <w:color w:val="333333"/>
          <w:sz w:val="26"/>
          <w:szCs w:val="26"/>
        </w:rPr>
        <w:t xml:space="preserve">John Bradley </w:t>
      </w:r>
      <w:r>
        <w:rPr>
          <w:rFonts w:ascii="Arial" w:cs="Arial" w:eastAsia="Arial" w:hAnsi="Arial"/>
          <w:color w:val="333333"/>
          <w:sz w:val="26"/>
          <w:szCs w:val="26"/>
        </w:rPr>
        <w:t xml:space="preserve">— Founder, Manager, and Developer</w:t>
      </w:r>
    </w:p>
    <w:p>
      <w:pPr>
        <w:spacing w:after="100"/>
      </w:pPr>
    </w:p>
    <w:p>
      <w:pPr>
        <w:spacing w:after="200" w:before="0"/>
        <w:jc w:val="left"/>
      </w:pPr>
      <w:r>
        <w:rPr>
          <w:rFonts w:ascii="Arial" w:cs="Arial" w:eastAsia="Arial" w:hAnsi="Arial"/>
          <w:b w:val="false"/>
          <w:bCs w:val="false"/>
          <w:i w:val="false"/>
          <w:iCs w:val="false"/>
          <w:color w:val="333333"/>
          <w:sz w:val="24"/>
          <w:szCs w:val="24"/>
        </w:rPr>
        <w:t xml:space="preserve">John built the entire Predictive Alpha system from the ground up — the AI probability estimation engine, the automated trading infrastructure, the backtesting framework, the risk management system, and all investor materials. He manages the fund’s day-to-day operations, monitors the bot 24/7 via Telegram alerts, and makes all strategic decisions.</w:t>
      </w:r>
    </w:p>
    <w:p>
      <w:pPr>
        <w:spacing w:after="200" w:before="0"/>
        <w:jc w:val="left"/>
      </w:pPr>
      <w:r>
        <w:rPr>
          <w:rFonts w:ascii="Arial" w:cs="Arial" w:eastAsia="Arial" w:hAnsi="Arial"/>
          <w:b w:val="false"/>
          <w:bCs w:val="false"/>
          <w:i w:val="false"/>
          <w:iCs w:val="false"/>
          <w:color w:val="333333"/>
          <w:sz w:val="24"/>
          <w:szCs w:val="24"/>
        </w:rPr>
        <w:t xml:space="preserve">The system is designed to be systematic and research-driven. Every design choice — from anti-anchoring (hiding market prices from the AI) to calibration (Platt scaling) to position sizing (quarter-Kelly) — is backed by academic research. The approach prioritizes honest risk assessment and radical transparency over salesmanship.</w:t>
      </w:r>
    </w:p>
    <w:p>
      <w:pPr>
        <w:spacing w:after="100"/>
      </w:pPr>
    </w:p>
    <w:p>
      <w:pPr>
        <w:spacing w:after="200" w:before="0"/>
        <w:jc w:val="left"/>
      </w:pPr>
      <w:r>
        <w:rPr>
          <w:rFonts w:ascii="Arial" w:cs="Arial" w:eastAsia="Arial" w:hAnsi="Arial"/>
          <w:b/>
          <w:bCs/>
          <w:color w:val="333333"/>
          <w:sz w:val="24"/>
          <w:szCs w:val="24"/>
        </w:rPr>
        <w:t xml:space="preserve">Contact: </w:t>
      </w:r>
      <w:r>
        <w:rPr>
          <w:rFonts w:ascii="Arial" w:cs="Arial" w:eastAsia="Arial" w:hAnsi="Arial"/>
          <w:color w:val="333333"/>
          <w:sz w:val="24"/>
          <w:szCs w:val="24"/>
        </w:rPr>
        <w:t xml:space="preserve">johnhavenbradley@gmail.com</w:t>
      </w:r>
    </w:p>
    <w:p>
      <w:pPr>
        <w:spacing w:after="200"/>
      </w:pPr>
    </w:p>
    <w:p>
      <w:pPr>
        <w:pStyle w:val="Heading1"/>
        <w:spacing w:after="200" w:before="360"/>
        <w:jc w:val="left"/>
      </w:pPr>
      <w:r>
        <w:rPr>
          <w:rFonts w:ascii="Arial" w:cs="Arial" w:eastAsia="Arial" w:hAnsi="Arial"/>
          <w:b/>
          <w:bCs/>
          <w:i w:val="false"/>
          <w:iCs w:val="false"/>
          <w:color w:val="1B3A5C"/>
          <w:sz w:val="36"/>
          <w:szCs w:val="36"/>
        </w:rPr>
        <w:t xml:space="preserve">Frequently Asked Questions</w:t>
      </w:r>
    </w:p>
    <w:p>
      <w:pPr>
        <w:spacing w:after="200" w:before="0"/>
        <w:jc w:val="left"/>
      </w:pPr>
      <w:r>
        <w:rPr>
          <w:rFonts w:ascii="Arial" w:cs="Arial" w:eastAsia="Arial" w:hAnsi="Arial"/>
          <w:b/>
          <w:bCs/>
          <w:i/>
          <w:iCs/>
          <w:color w:val="333333"/>
          <w:sz w:val="24"/>
          <w:szCs w:val="24"/>
        </w:rPr>
        <w:t xml:space="preserve">Q: "How can an AI predict things?"</w:t>
      </w:r>
    </w:p>
    <w:p>
      <w:pPr>
        <w:spacing w:after="200" w:before="0"/>
        <w:jc w:val="left"/>
      </w:pPr>
      <w:r>
        <w:rPr>
          <w:rFonts w:ascii="Arial" w:cs="Arial" w:eastAsia="Arial" w:hAnsi="Arial"/>
          <w:b w:val="false"/>
          <w:bCs w:val="false"/>
          <w:i w:val="false"/>
          <w:iCs w:val="false"/>
          <w:color w:val="333333"/>
          <w:sz w:val="24"/>
          <w:szCs w:val="24"/>
        </w:rPr>
        <w:t xml:space="preserve">The AI doesn’t predict the future. It estimates probabilities more carefully than the average market participant by reasoning through base rates, historical patterns, and available evidence without emotional bias. Over hundreds of bets, being slightly more accurate than the crowd compounds into meaningful returns.</w:t>
      </w:r>
    </w:p>
    <w:p>
      <w:pPr>
        <w:spacing w:after="200" w:before="0"/>
        <w:jc w:val="left"/>
      </w:pPr>
      <w:r>
        <w:rPr>
          <w:rFonts w:ascii="Arial" w:cs="Arial" w:eastAsia="Arial" w:hAnsi="Arial"/>
          <w:b/>
          <w:bCs/>
          <w:i/>
          <w:iCs/>
          <w:color w:val="333333"/>
          <w:sz w:val="24"/>
          <w:szCs w:val="24"/>
        </w:rPr>
        <w:t xml:space="preserve">Q: "What if you lose my money?"</w:t>
      </w:r>
    </w:p>
    <w:p>
      <w:pPr>
        <w:spacing w:after="200" w:before="0"/>
        <w:jc w:val="left"/>
      </w:pPr>
      <w:r>
        <w:rPr>
          <w:rFonts w:ascii="Arial" w:cs="Arial" w:eastAsia="Arial" w:hAnsi="Arial"/>
          <w:b w:val="false"/>
          <w:bCs w:val="false"/>
          <w:i w:val="false"/>
          <w:iCs w:val="false"/>
          <w:color w:val="333333"/>
          <w:sz w:val="24"/>
          <w:szCs w:val="24"/>
        </w:rPr>
        <w:t xml:space="preserve">This is a real risk. The fund could lose money, including your entire investment. We have safety rails (daily loss limits, per-trade caps, kill switch) and use mathematically optimal position sizing. But prediction market trading is inherently speculative. Only invest money you can truly afford to lose.</w:t>
      </w:r>
    </w:p>
    <w:p>
      <w:pPr>
        <w:spacing w:after="200" w:before="0"/>
        <w:jc w:val="left"/>
      </w:pPr>
      <w:r>
        <w:rPr>
          <w:rFonts w:ascii="Arial" w:cs="Arial" w:eastAsia="Arial" w:hAnsi="Arial"/>
          <w:b/>
          <w:bCs/>
          <w:i/>
          <w:iCs/>
          <w:color w:val="333333"/>
          <w:sz w:val="24"/>
          <w:szCs w:val="24"/>
        </w:rPr>
        <w:t xml:space="preserve">Q: "How do I get my money back?"</w:t>
      </w:r>
    </w:p>
    <w:p>
      <w:pPr>
        <w:spacing w:after="200" w:before="0"/>
        <w:jc w:val="left"/>
      </w:pPr>
      <w:r>
        <w:rPr>
          <w:rFonts w:ascii="Arial" w:cs="Arial" w:eastAsia="Arial" w:hAnsi="Arial"/>
          <w:b w:val="false"/>
          <w:bCs w:val="false"/>
          <w:i w:val="false"/>
          <w:iCs w:val="false"/>
          <w:color w:val="333333"/>
          <w:sz w:val="24"/>
          <w:szCs w:val="24"/>
        </w:rPr>
        <w:t xml:space="preserve">After the 90-day lock-up, request a withdrawal with 30 days’ notice. Withdrawals process quarterly. If you need your money urgently, we’ll work with you.</w:t>
      </w:r>
    </w:p>
    <w:p>
      <w:pPr>
        <w:spacing w:after="200" w:before="0"/>
        <w:jc w:val="left"/>
      </w:pPr>
      <w:r>
        <w:rPr>
          <w:rFonts w:ascii="Arial" w:cs="Arial" w:eastAsia="Arial" w:hAnsi="Arial"/>
          <w:b/>
          <w:bCs/>
          <w:i/>
          <w:iCs/>
          <w:color w:val="333333"/>
          <w:sz w:val="24"/>
          <w:szCs w:val="24"/>
        </w:rPr>
        <w:t xml:space="preserve">Q: "Is this legal?"</w:t>
      </w:r>
    </w:p>
    <w:p>
      <w:pPr>
        <w:spacing w:after="200" w:before="0"/>
        <w:jc w:val="left"/>
      </w:pPr>
      <w:r>
        <w:rPr>
          <w:rFonts w:ascii="Arial" w:cs="Arial" w:eastAsia="Arial" w:hAnsi="Arial"/>
          <w:b w:val="false"/>
          <w:bCs w:val="false"/>
          <w:i w:val="false"/>
          <w:iCs w:val="false"/>
          <w:color w:val="333333"/>
          <w:sz w:val="24"/>
          <w:szCs w:val="24"/>
        </w:rPr>
        <w:t xml:space="preserve">Yes, with caveats. We’re structured under Reg D 506(b) for friends and family. CFTC Rule 4.13 exempts small pools. However, the regulatory landscape is evolving. Tax treatment is unsettled. Consult your own legal and tax advisors.</w:t>
      </w:r>
    </w:p>
    <w:p>
      <w:pPr>
        <w:spacing w:after="200" w:before="0"/>
        <w:jc w:val="left"/>
      </w:pPr>
      <w:r>
        <w:rPr>
          <w:rFonts w:ascii="Arial" w:cs="Arial" w:eastAsia="Arial" w:hAnsi="Arial"/>
          <w:b/>
          <w:bCs/>
          <w:i/>
          <w:iCs/>
          <w:color w:val="333333"/>
          <w:sz w:val="24"/>
          <w:szCs w:val="24"/>
        </w:rPr>
        <w:t xml:space="preserve">Q: "What’s your track record?"</w:t>
      </w:r>
    </w:p>
    <w:p>
      <w:pPr>
        <w:spacing w:after="200" w:before="0"/>
        <w:jc w:val="left"/>
      </w:pPr>
      <w:r>
        <w:rPr>
          <w:rFonts w:ascii="Arial" w:cs="Arial" w:eastAsia="Arial" w:hAnsi="Arial"/>
          <w:b w:val="false"/>
          <w:bCs w:val="false"/>
          <w:i w:val="false"/>
          <w:iCs w:val="false"/>
          <w:color w:val="333333"/>
          <w:sz w:val="24"/>
          <w:szCs w:val="24"/>
        </w:rPr>
        <w:t xml:space="preserve">Backtested: 68.5% win rate across 532 markets. Live: none yet (as of March 2026). We will share monthly performance reports with all investors showing every trade, every win, and every loss.</w:t>
      </w:r>
    </w:p>
    <w:p>
      <w:r>
        <w:br w:type="page"/>
      </w:r>
    </w:p>
    <w:p>
      <w:pPr>
        <w:pStyle w:val="Heading1"/>
        <w:spacing w:after="200" w:before="360"/>
        <w:jc w:val="left"/>
      </w:pPr>
      <w:r>
        <w:rPr>
          <w:rFonts w:ascii="Arial" w:cs="Arial" w:eastAsia="Arial" w:hAnsi="Arial"/>
          <w:b/>
          <w:bCs/>
          <w:i w:val="false"/>
          <w:iCs w:val="false"/>
          <w:color w:val="1B3A5C"/>
          <w:sz w:val="36"/>
          <w:szCs w:val="36"/>
        </w:rPr>
        <w:t xml:space="preserve">Legal Disclaimers</w:t>
      </w:r>
    </w:p>
    <w:p>
      <w:pPr>
        <w:spacing w:after="200" w:before="0"/>
        <w:jc w:val="left"/>
      </w:pPr>
      <w:r>
        <w:rPr>
          <w:rFonts w:ascii="Arial" w:cs="Arial" w:eastAsia="Arial" w:hAnsi="Arial"/>
          <w:b w:val="false"/>
          <w:bCs w:val="false"/>
          <w:i w:val="false"/>
          <w:iCs w:val="false"/>
          <w:color w:val="666666"/>
          <w:sz w:val="20"/>
          <w:szCs w:val="20"/>
        </w:rPr>
        <w:t xml:space="preserve">This document does not constitute an offer to sell or a solicitation of an offer to buy any securities. No offer to purchase securities will be made or accepted prior to receipt by the offeree of a final prospectus or other offering document.</w:t>
      </w:r>
    </w:p>
    <w:p>
      <w:pPr>
        <w:spacing w:after="200" w:before="0"/>
        <w:jc w:val="left"/>
      </w:pPr>
      <w:r>
        <w:rPr>
          <w:rFonts w:ascii="Arial" w:cs="Arial" w:eastAsia="Arial" w:hAnsi="Arial"/>
          <w:b w:val="false"/>
          <w:bCs w:val="false"/>
          <w:i w:val="false"/>
          <w:iCs w:val="false"/>
          <w:color w:val="666666"/>
          <w:sz w:val="20"/>
          <w:szCs w:val="20"/>
        </w:rPr>
        <w:t xml:space="preserve">All performance results shown in this document are HYPOTHETICAL and BACKTESTED. They are not actual trading results and do not represent the performance of any actual fund. Backtested results are subject to the limitation that they are developed with the benefit of hindsight.</w:t>
      </w:r>
    </w:p>
    <w:p>
      <w:pPr>
        <w:spacing w:after="200" w:before="0"/>
        <w:jc w:val="left"/>
      </w:pPr>
      <w:r>
        <w:rPr>
          <w:rFonts w:ascii="Arial" w:cs="Arial" w:eastAsia="Arial" w:hAnsi="Arial"/>
          <w:b w:val="false"/>
          <w:bCs w:val="false"/>
          <w:i w:val="false"/>
          <w:iCs w:val="false"/>
          <w:color w:val="666666"/>
          <w:sz w:val="20"/>
          <w:szCs w:val="20"/>
        </w:rPr>
        <w:t xml:space="preserve">Past performance, whether actual or simulated, does not guarantee or indicate future results. Investment return and principal value will fluctuate, so that an investor’s units, when redeemed, may be worth more or less than their original cost.</w:t>
      </w:r>
    </w:p>
    <w:p>
      <w:pPr>
        <w:spacing w:after="200" w:before="0"/>
        <w:jc w:val="left"/>
      </w:pPr>
      <w:r>
        <w:rPr>
          <w:rFonts w:ascii="Arial" w:cs="Arial" w:eastAsia="Arial" w:hAnsi="Arial"/>
          <w:b w:val="false"/>
          <w:bCs w:val="false"/>
          <w:i w:val="false"/>
          <w:iCs w:val="false"/>
          <w:color w:val="666666"/>
          <w:sz w:val="20"/>
          <w:szCs w:val="20"/>
        </w:rPr>
        <w:t xml:space="preserve">CFTC Disclosure: Prediction market contracts referenced in this document are event contracts and are considered swaps under the Commodity Exchange Act. Trading in such contracts is speculative and is suitable only for sophisticated investors who fully understand and are willing to assume the risks.</w:t>
      </w:r>
    </w:p>
    <w:p>
      <w:pPr>
        <w:spacing w:after="200" w:before="0"/>
        <w:jc w:val="left"/>
      </w:pPr>
      <w:r>
        <w:rPr>
          <w:rFonts w:ascii="Arial" w:cs="Arial" w:eastAsia="Arial" w:hAnsi="Arial"/>
          <w:b w:val="false"/>
          <w:bCs w:val="false"/>
          <w:i w:val="false"/>
          <w:iCs w:val="false"/>
          <w:color w:val="666666"/>
          <w:sz w:val="20"/>
          <w:szCs w:val="20"/>
        </w:rPr>
        <w:t xml:space="preserve">These materials have not been reviewed, approved, or endorsed by the U.S. Securities and Exchange Commission, the Commodity Futures Trading Commission, or any other governmental authority.</w:t>
      </w:r>
    </w:p>
    <w:p>
      <w:pPr>
        <w:spacing w:after="200" w:before="0"/>
        <w:jc w:val="left"/>
      </w:pPr>
      <w:r>
        <w:rPr>
          <w:rFonts w:ascii="Arial" w:cs="Arial" w:eastAsia="Arial" w:hAnsi="Arial"/>
          <w:b w:val="false"/>
          <w:bCs w:val="false"/>
          <w:i w:val="false"/>
          <w:iCs w:val="false"/>
          <w:color w:val="666666"/>
          <w:sz w:val="20"/>
          <w:szCs w:val="20"/>
        </w:rPr>
        <w:t xml:space="preserve">The tax treatment of prediction market gains is unsettled. Investors should consult their own tax advisors regarding the federal, state, and local tax consequences of purchasing or selling event contracts.</w:t>
      </w:r>
    </w:p>
    <w:p>
      <w:pPr>
        <w:spacing w:after="200" w:before="0"/>
        <w:jc w:val="left"/>
      </w:pPr>
      <w:r>
        <w:rPr>
          <w:rFonts w:ascii="Arial" w:cs="Arial" w:eastAsia="Arial" w:hAnsi="Arial"/>
          <w:b/>
          <w:bCs/>
          <w:i w:val="false"/>
          <w:iCs w:val="false"/>
          <w:color w:val="666666"/>
          <w:sz w:val="20"/>
          <w:szCs w:val="20"/>
        </w:rPr>
        <w:t xml:space="preserve">TEMPLATE NOTICE: This document should be reviewed by a securities attorney licensed to practice in your jurisdiction before use in any offering.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666666"/>
        <w:sz w:val="18"/>
        <w:szCs w:val="18"/>
      </w:rPr>
      <w:t xml:space="preserve">CONFIDENTIAL —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 For Prospective Investors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200"/>
    </w:pPr>
    <w:r>
      <w:rPr>
        <w:rFonts w:ascii="Arial" w:cs="Arial" w:eastAsia="Arial" w:hAnsi="Arial"/>
        <w:b/>
        <w:bCs/>
        <w:color w:val="1B3A5C"/>
        <w:sz w:val="18"/>
        <w:szCs w:val="18"/>
      </w:rPr>
      <w:t xml:space="preserve">Predictive Alpha Fund</w:t>
    </w:r>
    <w:r>
      <w:rPr>
        <w:rFonts w:ascii="Arial" w:cs="Arial" w:eastAsia="Arial" w:hAnsi="Arial"/>
        <w:color w:val="666666"/>
        <w:sz w:val="18"/>
        <w:szCs w:val="18"/>
      </w:rPr>
      <w:t xml:space="preserve">	Investor Report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1B3A5C"/>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2026-03-06T08:50:06.936Z</dcterms:created>
  <dcterms:modified xsi:type="dcterms:W3CDTF">2026-03-06T08:50:06.936Z</dcterms:modified>
</cp:coreProperties>
</file>

<file path=docProps/custom.xml><?xml version="1.0" encoding="utf-8"?>
<Properties xmlns="http://schemas.openxmlformats.org/officeDocument/2006/custom-properties" xmlns:vt="http://schemas.openxmlformats.org/officeDocument/2006/docPropsVTypes"/>
</file>