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1B3A5C"/>
          <w:sz w:val="40"/>
          <w:szCs w:val="40"/>
        </w:rPr>
        <w:t xml:space="preserve">PREDICTIVE ALPHA FUND</w:t>
      </w:r>
    </w:p>
    <w:p>
      <w:pPr>
        <w:spacing w:after="0" w:before="80"/>
        <w:jc w:val="center"/>
      </w:pPr>
      <w:r>
        <w:rPr>
          <w:rFonts w:ascii="Arial" w:cs="Arial" w:eastAsia="Arial" w:hAnsi="Arial"/>
          <w:color w:val="666666"/>
          <w:sz w:val="26"/>
          <w:szCs w:val="26"/>
        </w:rPr>
        <w:t xml:space="preserve">Monthly Performance Report</w:t>
      </w:r>
    </w:p>
    <w:p>
      <w:pPr>
        <w:spacing w:after="0" w:before="80"/>
        <w:jc w:val="center"/>
      </w:pPr>
      <w:r>
        <w:rPr>
          <w:rFonts w:ascii="Arial" w:cs="Arial" w:eastAsia="Arial" w:hAnsi="Arial"/>
          <w:b/>
          <w:bCs/>
          <w:color w:val="1B3A5C"/>
          <w:sz w:val="28"/>
          <w:szCs w:val="28"/>
        </w:rPr>
        <w:t xml:space="preserve">March 2026</w:t>
      </w:r>
    </w:p>
    <w:p>
      <w:pPr>
        <w:spacing w:after="120" w:before="60"/>
        <w:jc w:val="center"/>
      </w:pPr>
      <w:r>
        <w:rPr>
          <w:rFonts w:ascii="Arial" w:cs="Arial" w:eastAsia="Arial" w:hAnsi="Arial"/>
          <w:color w:val="666666"/>
          <w:sz w:val="18"/>
          <w:szCs w:val="18"/>
        </w:rPr>
        <w:t xml:space="preserve">Prepared: March 5, 2026</w:t>
      </w:r>
    </w:p>
    <w:p>
      <w:pPr>
        <w:pBdr>
          <w:top w:val="single" w:color="92640A" w:sz="2"/>
          <w:bottom w:val="single" w:color="92640A" w:sz="2"/>
          <w:left w:val="single" w:color="92640A" w:sz="2"/>
          <w:right w:val="single" w:color="92640A" w:sz="2"/>
        </w:pBdr>
        <w:shd w:fill="FFF3CD" w:val="clear"/>
        <w:spacing w:after="120" w:before="120"/>
        <w:jc w:val="center"/>
      </w:pPr>
      <w:r>
        <w:rPr>
          <w:rFonts w:ascii="Arial" w:cs="Arial" w:eastAsia="Arial" w:hAnsi="Arial"/>
          <w:b/>
          <w:bCs/>
          <w:color w:val="92640A"/>
          <w:sz w:val="17"/>
          <w:szCs w:val="17"/>
        </w:rPr>
        <w:t xml:space="preserve">PAPER TRADING — All data reflects simulated trades and backtested results. Not live capital.</w:t>
      </w:r>
    </w:p>
    <w:p>
      <w:pPr>
        <w:pBdr>
          <w:bottom w:val="single" w:color="2E75B6" w:sz="4" w:space="4"/>
        </w:pBdr>
        <w:spacing w:after="120" w:before="300"/>
      </w:pPr>
      <w:r>
        <w:rPr>
          <w:rFonts w:ascii="Arial" w:cs="Arial" w:eastAsia="Arial" w:hAnsi="Arial"/>
          <w:b/>
          <w:bCs/>
          <w:color w:val="1B3A5C"/>
          <w:sz w:val="22"/>
          <w:szCs w:val="22"/>
        </w:rPr>
        <w:t xml:space="preserve">EXECUTIVE SUMMARY</w:t>
      </w:r>
    </w:p>
    <w:p>
      <w:pPr>
        <w:spacing w:after="60" w:before="60"/>
        <w:jc w:val="left"/>
      </w:pPr>
      <w:r>
        <w:rPr>
          <w:rFonts w:ascii="Arial" w:cs="Arial" w:eastAsia="Arial" w:hAnsi="Arial"/>
          <w:color w:val="333333"/>
          <w:sz w:val="19"/>
          <w:szCs w:val="19"/>
        </w:rPr>
        <w:t xml:space="preserve">Predictive Alpha Fund launched paper trading operations in March 2026, deploying an AI-powered automated trading system on Polymarket prediction markets. The system completed a comprehensive 532-market backtest demonstrating a 64.9% win rate and positive expected value across all strategy variants. Our best-performing strategy (Calibrated + Selective) achieved an 83.1% win rate on historical data. Paper trading is now live on our VPS infrastructure, scanning 100 markets per cycle with 18 signals generated per scan.</w:t>
      </w:r>
    </w:p>
    <w:p>
      <w:pPr>
        <w:pBdr>
          <w:bottom w:val="single" w:color="2E75B6" w:sz="4" w:space="4"/>
        </w:pBdr>
        <w:spacing w:after="120" w:before="300"/>
      </w:pPr>
      <w:r>
        <w:rPr>
          <w:rFonts w:ascii="Arial" w:cs="Arial" w:eastAsia="Arial" w:hAnsi="Arial"/>
          <w:b/>
          <w:bCs/>
          <w:color w:val="1B3A5C"/>
          <w:sz w:val="22"/>
          <w:szCs w:val="22"/>
        </w:rPr>
        <w:t xml:space="preserve">PERFORMANCE SUMMARY</w:t>
      </w:r>
    </w:p>
    <w:p>
      <w:pPr>
        <w:spacing w:after="0" w:before="0"/>
      </w:pPr>
      <w:r>
        <w:rPr>
          <w:rFonts w:ascii="Arial" w:cs="Arial" w:eastAsia="Arial" w:hAnsi="Arial"/>
          <w:i/>
          <w:iCs/>
          <w:color w:val="666666"/>
          <w:sz w:val="14"/>
          <w:szCs w:val="14"/>
        </w:rPr>
        <w:t xml:space="preserve">All figures from paper trading and backtest. No live capital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Starting NAV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$75.00 (USDC)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Ending NAV (paper)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$75.00 (no resolved trades yet)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Monthly Return %</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0.00% (awaiting resolution)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Benchmark (Polymarket avg)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N/A (first month)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Cash Deployed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$68.00 (34 positions × $2)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Cash Remaining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$7.00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Backtest Win Rate (532 mkts)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1D7324"/>
                <w:sz w:val="18"/>
                <w:szCs w:val="18"/>
              </w:rPr>
              <w:t xml:space="preserve">64.9%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Best Strategy Win 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1D7324"/>
                <w:sz w:val="18"/>
                <w:szCs w:val="18"/>
              </w:rPr>
              <w:t xml:space="preserve">83.1% (Calibrated + Selective)</w:t>
            </w:r>
          </w:p>
        </w:tc>
      </w:tr>
    </w:tbl>
    <w:p>
      <w:pPr>
        <w:pBdr>
          <w:bottom w:val="single" w:color="2E75B6" w:sz="4" w:space="4"/>
        </w:pBdr>
        <w:spacing w:after="120" w:before="300"/>
      </w:pPr>
      <w:r>
        <w:rPr>
          <w:rFonts w:ascii="Arial" w:cs="Arial" w:eastAsia="Arial" w:hAnsi="Arial"/>
          <w:b/>
          <w:bCs/>
          <w:color w:val="1B3A5C"/>
          <w:sz w:val="22"/>
          <w:szCs w:val="22"/>
        </w:rPr>
        <w:t xml:space="preserve">TRADE ACTIVITY</w:t>
      </w:r>
    </w:p>
    <w:p>
      <w:pPr>
        <w:spacing w:after="0" w:before="0"/>
      </w:pPr>
      <w:r>
        <w:rPr>
          <w:rFonts w:ascii="Arial" w:cs="Arial" w:eastAsia="Arial" w:hAnsi="Arial"/>
          <w:i/>
          <w:iCs/>
          <w:color w:val="666666"/>
          <w:sz w:val="14"/>
          <w:szCs w:val="14"/>
        </w:rPr>
        <w:t xml:space="preserve">Paper trading positions entered since system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Total Positions Entered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34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Resolved (Wins)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 (awaiting resolution)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Resolved (Losses)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 (awaiting resolution)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Signals per Scan Cycle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18 avg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Markets Scanned per Cycle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Best Trade (backtest)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1D7324"/>
                <w:sz w:val="18"/>
                <w:szCs w:val="18"/>
              </w:rPr>
              <w:t xml:space="preserve">+$2.00 (multiple, max payout)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Worst Trade (backtest)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B91C1C"/>
                <w:sz w:val="18"/>
                <w:szCs w:val="18"/>
              </w:rPr>
              <w:t xml:space="preserve">-$2.00 (multiple, max loss)</w:t>
            </w:r>
          </w:p>
        </w:tc>
      </w:tr>
    </w:tbl>
    <w:p>
      <w:r>
        <w:br w:type="page"/>
      </w:r>
    </w:p>
    <w:p>
      <w:pPr>
        <w:pBdr>
          <w:bottom w:val="single" w:color="2E75B6" w:sz="4" w:space="4"/>
        </w:pBdr>
        <w:spacing w:after="120" w:before="300"/>
      </w:pPr>
      <w:r>
        <w:rPr>
          <w:rFonts w:ascii="Arial" w:cs="Arial" w:eastAsia="Arial" w:hAnsi="Arial"/>
          <w:b/>
          <w:bCs/>
          <w:color w:val="1B3A5C"/>
          <w:sz w:val="22"/>
          <w:szCs w:val="22"/>
        </w:rPr>
        <w:t xml:space="preserve">STRATEGY BREAKDOWN BY CATEGORY</w:t>
      </w:r>
    </w:p>
    <w:p>
      <w:pPr>
        <w:spacing w:after="0" w:before="0"/>
      </w:pPr>
      <w:r>
        <w:rPr>
          <w:rFonts w:ascii="Arial" w:cs="Arial" w:eastAsia="Arial" w:hAnsi="Arial"/>
          <w:i/>
          <w:iCs/>
          <w:color w:val="666666"/>
          <w:sz w:val="14"/>
          <w:szCs w:val="14"/>
        </w:rPr>
        <w:t xml:space="preserve">Backtest performance by market category (532 resolved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Category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Priority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Win Rate</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Trades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Strategy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Politics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3 (High)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1D7324"/>
                <w:sz w:val="18"/>
                <w:szCs w:val="18"/>
              </w:rPr>
              <w:t xml:space="preserve">~70%+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Full position sizing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Weather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3 (High)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1D7324"/>
                <w:sz w:val="18"/>
                <w:szCs w:val="18"/>
              </w:rPr>
              <w:t xml:space="preserve">NOAA-backed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NOAA arbitrage overlay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Economic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2 (Medium)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Full position sizing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333333"/>
                <w:sz w:val="18"/>
                <w:szCs w:val="18"/>
              </w:rPr>
              <w:t xml:space="preserve">Geopolitical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1 (Low)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8"/>
                <w:szCs w:val="18"/>
              </w:rPr>
              <w:t xml:space="preserve">~55%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50% reduced sizing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Crypto / Sports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 (Skip)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666666"/>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Skipped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Zero LLM edge per research</w:t>
            </w:r>
          </w:p>
        </w:tc>
      </w:tr>
    </w:tbl>
    <w:p>
      <w:pPr>
        <w:spacing w:after="60" w:before="60"/>
        <w:jc w:val="left"/>
      </w:pPr>
      <w:r>
        <w:rPr>
          <w:rFonts w:ascii="Arial" w:cs="Arial" w:eastAsia="Arial" w:hAnsi="Arial"/>
          <w:color w:val="333333"/>
          <w:sz w:val="19"/>
          <w:szCs w:val="19"/>
        </w:rPr>
        <w:t xml:space="preserve">* No active weather markets detected during March. NOAA 6-city pipeline operational and awaiting opportunities.</w:t>
      </w:r>
    </w:p>
    <w:p>
      <w:pPr>
        <w:pBdr>
          <w:bottom w:val="single" w:color="2E75B6" w:sz="4" w:space="4"/>
        </w:pBdr>
        <w:spacing w:after="120" w:before="300"/>
      </w:pPr>
      <w:r>
        <w:rPr>
          <w:rFonts w:ascii="Arial" w:cs="Arial" w:eastAsia="Arial" w:hAnsi="Arial"/>
          <w:b/>
          <w:bCs/>
          <w:color w:val="1B3A5C"/>
          <w:sz w:val="22"/>
          <w:szCs w:val="22"/>
        </w:rPr>
        <w:t xml:space="preserve">MARKET COMMENTARY</w:t>
      </w:r>
    </w:p>
    <w:p>
      <w:pPr>
        <w:spacing w:after="60" w:before="60"/>
        <w:jc w:val="left"/>
      </w:pPr>
      <w:r>
        <w:rPr>
          <w:rFonts w:ascii="Arial" w:cs="Arial" w:eastAsia="Arial" w:hAnsi="Arial"/>
          <w:color w:val="333333"/>
          <w:sz w:val="19"/>
          <w:szCs w:val="19"/>
        </w:rPr>
        <w:t xml:space="preserve">March 2026 marked the fund’s entry into paper trading on Polymarket. The prediction market ecosystem continued to grow, with Polymarket maintaining its position as the dominant CLOB-based platform. Key developments this month included the ongoing impact of taker fees introduced in February 2026, which have reshaped the competitive landscape by penalizing pure taker strategies and favoring market makers.</w:t>
      </w:r>
    </w:p>
    <w:p>
      <w:pPr>
        <w:spacing w:after="60" w:before="60"/>
        <w:jc w:val="left"/>
      </w:pPr>
      <w:r>
        <w:rPr>
          <w:rFonts w:ascii="Arial" w:cs="Arial" w:eastAsia="Arial" w:hAnsi="Arial"/>
          <w:color w:val="333333"/>
          <w:sz w:val="19"/>
          <w:szCs w:val="19"/>
        </w:rPr>
        <w:t xml:space="preserve">Political markets remain the fund’s primary edge category, consistent with academic research showing LLMs perform best in political forecasting. The competitive environment intensified, with open-source bot frameworks proliferating on GitHub and reports of institutional interest (Susquehanna hiring prediction market traders). Our differentiated approach—AI forecasting rather than mechanical arbitrage—remains our thesis, though it requires live validation.</w:t>
      </w:r>
    </w:p>
    <w:p>
      <w:pPr>
        <w:pBdr>
          <w:bottom w:val="single" w:color="2E75B6" w:sz="4" w:space="4"/>
        </w:pBdr>
        <w:spacing w:after="120" w:before="300"/>
      </w:pPr>
      <w:r>
        <w:rPr>
          <w:rFonts w:ascii="Arial" w:cs="Arial" w:eastAsia="Arial" w:hAnsi="Arial"/>
          <w:b/>
          <w:bCs/>
          <w:color w:val="1B3A5C"/>
          <w:sz w:val="22"/>
          <w:szCs w:val="22"/>
        </w:rPr>
        <w:t xml:space="preserve">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Max Drawdown (backtest)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$50.00 / 66.7% of capital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Sharpe-Equivalent (backtest)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0.64 (Quarter-Kelly)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Brier Score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0.239 (random = 0.25)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Current Exposure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8"/>
                <w:szCs w:val="18"/>
              </w:rPr>
              <w:t xml:space="preserve">$68.00 / $75.00 (90.7%)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Position Concentration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34 positions × $2 (diversified)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Monte Carlo P(Total Loss)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1D7324"/>
                <w:sz w:val="18"/>
                <w:szCs w:val="18"/>
              </w:rPr>
              <w:t xml:space="preserve">0.0% (10,000 sims)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Capital Utilization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8"/>
                <w:szCs w:val="18"/>
              </w:rPr>
              <w:t xml:space="preserve">90.7% deployed</w:t>
            </w:r>
          </w:p>
        </w:tc>
      </w:tr>
    </w:tbl>
    <w:p>
      <w:pPr>
        <w:spacing w:after="60" w:before="60"/>
        <w:jc w:val="left"/>
      </w:pPr>
      <w:r>
        <w:rPr>
          <w:rFonts w:ascii="Arial" w:cs="Arial" w:eastAsia="Arial" w:hAnsi="Arial"/>
          <w:color w:val="333333"/>
          <w:sz w:val="19"/>
          <w:szCs w:val="19"/>
        </w:rPr>
        <w:t xml:space="preserve">Capital utilization is high (90.7%) given small fund size ($75). Kelly criterion integration (quarter-Kelly sizing) is pending, which will dynamically size positions based on edge magnitude rather than flat $2 sizing. This will improve risk-adjusted returns.</w:t>
      </w:r>
    </w:p>
    <w:p>
      <w:r>
        <w:br w:type="page"/>
      </w:r>
    </w:p>
    <w:p>
      <w:pPr>
        <w:pBdr>
          <w:bottom w:val="single" w:color="2E75B6" w:sz="4" w:space="4"/>
        </w:pBdr>
        <w:spacing w:after="120" w:before="300"/>
      </w:pPr>
      <w:r>
        <w:rPr>
          <w:rFonts w:ascii="Arial" w:cs="Arial" w:eastAsia="Arial" w:hAnsi="Arial"/>
          <w:b/>
          <w:bCs/>
          <w:color w:val="1B3A5C"/>
          <w:sz w:val="22"/>
          <w:szCs w:val="22"/>
        </w:rPr>
        <w:t xml:space="preserve">OUTLOOK — APRIL 2026</w:t>
      </w:r>
    </w:p>
    <w:p>
      <w:pPr>
        <w:spacing w:after="40" w:before="60"/>
        <w:jc w:val="left"/>
      </w:pPr>
      <w:r>
        <w:rPr>
          <w:rFonts w:ascii="Arial" w:cs="Arial" w:eastAsia="Arial" w:hAnsi="Arial"/>
          <w:color w:val="333333"/>
          <w:sz w:val="19"/>
          <w:szCs w:val="19"/>
        </w:rPr>
        <w:t xml:space="preserve">Key priorities for next month:</w:t>
      </w:r>
    </w:p>
    <w:p>
      <w:pPr>
        <w:pStyle w:val="ListParagraph"/>
        <w:numPr>
          <w:ilvl w:val="0"/>
          <w:numId w:val="2"/>
        </w:numPr>
        <w:spacing w:after="40" w:before="40"/>
      </w:pPr>
      <w:r>
        <w:rPr>
          <w:rFonts w:ascii="Arial" w:cs="Arial" w:eastAsia="Arial" w:hAnsi="Arial"/>
          <w:color w:val="333333"/>
          <w:sz w:val="19"/>
          <w:szCs w:val="19"/>
        </w:rPr>
        <w:t xml:space="preserve">Accumulate resolved trade data: Target 50+ resolved positions to validate backtest win rate against live paper results.</w:t>
      </w:r>
    </w:p>
    <w:p>
      <w:pPr>
        <w:pStyle w:val="ListParagraph"/>
        <w:numPr>
          <w:ilvl w:val="0"/>
          <w:numId w:val="2"/>
        </w:numPr>
        <w:spacing w:after="40" w:before="40"/>
      </w:pPr>
      <w:r>
        <w:rPr>
          <w:rFonts w:ascii="Arial" w:cs="Arial" w:eastAsia="Arial" w:hAnsi="Arial"/>
          <w:color w:val="333333"/>
          <w:sz w:val="19"/>
          <w:szCs w:val="19"/>
        </w:rPr>
        <w:t xml:space="preserve">Integrate Kelly criterion sizing: Replace flat $2 with quarter-Kelly for improved risk-adjusted returns (+40–80% projected ARR impact).</w:t>
      </w:r>
    </w:p>
    <w:p>
      <w:pPr>
        <w:pStyle w:val="ListParagraph"/>
        <w:numPr>
          <w:ilvl w:val="0"/>
          <w:numId w:val="2"/>
        </w:numPr>
        <w:spacing w:after="40" w:before="40"/>
      </w:pPr>
      <w:r>
        <w:rPr>
          <w:rFonts w:ascii="Arial" w:cs="Arial" w:eastAsia="Arial" w:hAnsi="Arial"/>
          <w:color w:val="333333"/>
          <w:sz w:val="19"/>
          <w:szCs w:val="19"/>
        </w:rPr>
        <w:t xml:space="preserve">Combined backtest re-run: Execute full backtest with all improvements (calibration + asymmetric thresholds + category routing + taker fees).</w:t>
      </w:r>
    </w:p>
    <w:p>
      <w:pPr>
        <w:pStyle w:val="ListParagraph"/>
        <w:numPr>
          <w:ilvl w:val="0"/>
          <w:numId w:val="2"/>
        </w:numPr>
        <w:spacing w:after="40" w:before="40"/>
      </w:pPr>
      <w:r>
        <w:rPr>
          <w:rFonts w:ascii="Arial" w:cs="Arial" w:eastAsia="Arial" w:hAnsi="Arial"/>
          <w:color w:val="333333"/>
          <w:sz w:val="19"/>
          <w:szCs w:val="19"/>
        </w:rPr>
        <w:t xml:space="preserve">Evaluate live trading switch: If paper win rate exceeds 55% over 2 weeks of resolved trades, prepare for live capital deployment.</w:t>
      </w:r>
    </w:p>
    <w:p>
      <w:pPr>
        <w:pStyle w:val="ListParagraph"/>
        <w:numPr>
          <w:ilvl w:val="0"/>
          <w:numId w:val="2"/>
        </w:numPr>
        <w:spacing w:after="40" w:before="40"/>
      </w:pPr>
      <w:r>
        <w:rPr>
          <w:rFonts w:ascii="Arial" w:cs="Arial" w:eastAsia="Arial" w:hAnsi="Arial"/>
          <w:color w:val="333333"/>
          <w:sz w:val="19"/>
          <w:szCs w:val="19"/>
        </w:rPr>
        <w:t xml:space="preserve">News sentiment pipeline: Begin integrating NewsData.io or Finnhub for real-time context to improve Claude’s probability estimates.</w:t>
      </w:r>
    </w:p>
    <w:p>
      <w:pPr>
        <w:spacing w:after="60" w:before="100"/>
        <w:jc w:val="left"/>
      </w:pPr>
      <w:r>
        <w:rPr>
          <w:rFonts w:ascii="Arial" w:cs="Arial" w:eastAsia="Arial" w:hAnsi="Arial"/>
          <w:color w:val="333333"/>
          <w:sz w:val="19"/>
          <w:szCs w:val="19"/>
        </w:rPr>
        <w:t xml:space="preserve">The fund remains in validation phase. No investor capital will be called until live trading demonstrates consistent performance matching or exceeding backtest projections.</w:t>
      </w:r>
    </w:p>
    <w:p>
      <w:r>
        <w:br w:type="page"/>
      </w:r>
    </w:p>
    <w:p>
      <w:pPr>
        <w:pBdr>
          <w:bottom w:val="single" w:color="2E75B6" w:sz="4" w:space="4"/>
        </w:pBdr>
        <w:spacing w:after="120" w:before="300"/>
      </w:pPr>
      <w:r>
        <w:rPr>
          <w:rFonts w:ascii="Arial" w:cs="Arial" w:eastAsia="Arial" w:hAnsi="Arial"/>
          <w:b/>
          <w:bCs/>
          <w:color w:val="1B3A5C"/>
          <w:sz w:val="22"/>
          <w:szCs w:val="22"/>
        </w:rPr>
        <w:t xml:space="preserve">APPENDIX: PAPER TRADE LOG</w:t>
      </w:r>
    </w:p>
    <w:p>
      <w:pPr>
        <w:spacing w:after="0" w:before="0"/>
      </w:pPr>
      <w:r>
        <w:rPr>
          <w:rFonts w:ascii="Arial" w:cs="Arial" w:eastAsia="Arial" w:hAnsi="Arial"/>
          <w:i/>
          <w:iCs/>
          <w:color w:val="666666"/>
          <w:sz w:val="14"/>
          <w:szCs w:val="14"/>
        </w:rPr>
        <w:t xml:space="preserve">All 34 open paper positions as of March 5, 2026. $2.00 per position, flat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1200"/>
        <w:gridCol w:w="1400"/>
        <w:gridCol w:w="18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Market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Side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Entry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1</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Will Trump sign executive order on crypto by April?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2</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Fed rate cut in March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$0.82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Ukraine ceasefire agreement by April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Bitcoin above $100K on March 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Will AI regulation bill pass Senate by June?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1D7324"/>
                <w:sz w:val="16"/>
                <w:szCs w:val="16"/>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6</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US GDP Q1 2026 above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El Niño declared by NOAA in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1D7324"/>
                <w:sz w:val="16"/>
                <w:szCs w:val="16"/>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$0.42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8</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Will Starship reach orbit by April?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9</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Fed Chair Powell reappointed?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10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CA wildfire state of emergency March?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2E75B6"/>
                <w:sz w:val="16"/>
                <w:szCs w:val="16"/>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$0.15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11–34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(24 additional positions across politics, economics, geopolitical)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bCs/>
                <w:color w:val="1D7324"/>
                <w:sz w:val="16"/>
                <w:szCs w:val="16"/>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333333"/>
                <w:sz w:val="16"/>
                <w:szCs w:val="16"/>
              </w:rPr>
              <w:t xml:space="preserve">Various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before="0"/>
              <w:jc w:val="left"/>
            </w:pPr>
            <w:r>
              <w:rPr>
                <w:rFonts w:ascii="Arial" w:cs="Arial" w:eastAsia="Arial" w:hAnsi="Arial"/>
                <w:b w:val="false"/>
                <w:bCs w:val="false"/>
                <w:color w:val="92640A"/>
                <w:sz w:val="16"/>
                <w:szCs w:val="16"/>
              </w:rPr>
              <w:t xml:space="preserve">Open</w:t>
            </w:r>
          </w:p>
        </w:tc>
      </w:tr>
    </w:tbl>
    <w:p>
      <w:pPr>
        <w:spacing w:after="0" w:before="300"/>
      </w:pPr>
    </w:p>
    <w:p>
      <w:pPr>
        <w:pBdr>
          <w:top w:val="single" w:color="CCCCCC" w:sz="2" w:space="4"/>
        </w:pBdr>
        <w:spacing w:after="60" w:before="0"/>
      </w:pPr>
      <w:r>
        <w:rPr>
          <w:rFonts w:ascii="Arial" w:cs="Arial" w:eastAsia="Arial" w:hAnsi="Arial"/>
          <w:b/>
          <w:bCs/>
          <w:color w:val="666666"/>
          <w:sz w:val="14"/>
          <w:szCs w:val="14"/>
        </w:rPr>
        <w:t xml:space="preserve">DISCLAIMER: </w:t>
      </w:r>
      <w:r>
        <w:rPr>
          <w:rFonts w:ascii="Arial" w:cs="Arial" w:eastAsia="Arial" w:hAnsi="Arial"/>
          <w:i/>
          <w:iCs/>
          <w:color w:val="666666"/>
          <w:sz w:val="14"/>
          <w:szCs w:val="14"/>
        </w:rPr>
        <w:t xml:space="preserve">This report is for informational purposes only and does not constitute an offer to sell or solicitation to buy securities. All performance figures are based on paper trading and backtested results and do not represent actual trading with live capital. Past performance, whether simulated or actual, does not guarantee future results. Prediction market trading involves substantial risk of loss. This is a speculative investment — only invest money you can afford to lose entirely.</w:t>
      </w:r>
    </w:p>
    <w:p>
      <w:pPr>
        <w:spacing w:after="0" w:before="60"/>
        <w:jc w:val="center"/>
      </w:pPr>
      <w:r>
        <w:rPr>
          <w:rFonts w:ascii="Arial" w:cs="Arial" w:eastAsia="Arial" w:hAnsi="Arial"/>
          <w:color w:val="666666"/>
          <w:sz w:val="14"/>
          <w:szCs w:val="14"/>
        </w:rPr>
        <w:t xml:space="preserve">Predictive Alpha Fund  |  Contact: johnhavenbradley@gmail.com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i/>
        <w:iCs/>
        <w:color w:val="666666"/>
        <w:sz w:val="14"/>
        <w:szCs w:val="14"/>
      </w:rPr>
      <w:t xml:space="preserve">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pPr>
    <w:r>
      <w:rPr>
        <w:rFonts w:ascii="Arial" w:cs="Arial" w:eastAsia="Arial" w:hAnsi="Arial"/>
        <w:b/>
        <w:bCs/>
        <w:color w:val="1B3A5C"/>
        <w:sz w:val="18"/>
        <w:szCs w:val="18"/>
      </w:rPr>
      <w:t xml:space="preserve">Predictive Alpha Fund</w:t>
    </w:r>
    <w:r>
      <w:rPr>
        <w:rFonts w:ascii="Arial" w:cs="Arial" w:eastAsia="Arial" w:hAnsi="Arial"/>
        <w:color w:val="666666"/>
        <w:sz w:val="16"/>
        <w:szCs w:val="16"/>
      </w:rPr>
      <w:t xml:space="preserve">	Monthly Investor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2026-03-05T21:40:43.568Z</dcterms:created>
  <dcterms:modified xsi:type="dcterms:W3CDTF">2026-03-05T21:40:43.569Z</dcterms:modified>
</cp:coreProperties>
</file>

<file path=docProps/custom.xml><?xml version="1.0" encoding="utf-8"?>
<Properties xmlns="http://schemas.openxmlformats.org/officeDocument/2006/custom-properties" xmlns:vt="http://schemas.openxmlformats.org/officeDocument/2006/docPropsVTypes"/>
</file>