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F4E79"/>
          <w:sz w:val="40"/>
          <w:szCs w:val="40"/>
        </w:rPr>
        <w:t xml:space="preserve">NEXT SPRINT: PUSH RETURN CONFIDENCE &amp; ARR</w:t>
      </w:r>
    </w:p>
    <w:p>
      <w:pPr>
        <w:spacing w:after="80"/>
        <w:jc w:val="center"/>
      </w:pPr>
      <w:r>
        <w:rPr>
          <w:rFonts w:ascii="Arial" w:cs="Arial" w:eastAsia="Arial" w:hAnsi="Arial"/>
          <w:color w:val="666666"/>
          <w:sz w:val="22"/>
          <w:szCs w:val="22"/>
        </w:rPr>
        <w:t xml:space="preserve">Predictive Alpha Fund  —  Sprint Plan  —  March 6, 2026</w:t>
      </w:r>
    </w:p>
    <w:p>
      <w:pPr>
        <w:pBdr>
          <w:bottom w:val="single" w:color="1F4E79" w:sz="6" w:space="8"/>
        </w:pBdr>
        <w:spacing w:after="300"/>
        <w:jc w:val="center"/>
      </w:pPr>
      <w:r>
        <w:rPr>
          <w:rFonts w:ascii="Arial" w:cs="Arial" w:eastAsia="Arial" w:hAnsi="Arial"/>
          <w:b/>
          <w:bCs/>
          <w:color w:val="0B6623"/>
          <w:sz w:val="24"/>
          <w:szCs w:val="24"/>
        </w:rPr>
        <w:t xml:space="preserve">Goal: Brier ≤ 0.19  |  Win Rate ≥ 72%  |  Live ARR &gt; +2,000%</w:t>
      </w:r>
    </w:p>
    <w:p>
      <w:pPr>
        <w:spacing w:after="120" w:before="360"/>
      </w:pPr>
      <w:r>
        <w:rPr>
          <w:rFonts w:ascii="Arial" w:cs="Arial" w:eastAsia="Arial" w:hAnsi="Arial"/>
          <w:b/>
          <w:bCs/>
          <w:color w:val="1F4E79"/>
          <w:sz w:val="28"/>
          <w:szCs w:val="28"/>
        </w:rPr>
        <w:t xml:space="preserve">Current State Snapshot</w:t>
      </w:r>
    </w:p>
    <w:p>
      <w:pPr>
        <w:spacing w:after="60" w:before="60"/>
      </w:pPr>
      <w:r>
        <w:rPr>
          <w:rFonts w:ascii="Arial" w:cs="Arial" w:eastAsia="Arial" w:hAnsi="Arial"/>
          <w:color w:val="333333"/>
          <w:sz w:val="20"/>
          <w:szCs w:val="20"/>
        </w:rPr>
        <w:t xml:space="preserve">System is paper-trading on VPS (161.35.24.142). 532-market backtest complete. CalibrationV2 (Platt scaling) deployed. Ensemble skeleton built but only Claude is active. No live trades executed yet. All performance numbers are backtest estimates.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Current</w:t>
            </w:r>
          </w:p>
        </w:tc>
        <w:tc>
          <w:tcPr>
            <w:tcW w:type="dxa" w:w="31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Brier Score (OOS)</w:t>
            </w:r>
          </w:p>
        </w:tc>
        <w:tc>
          <w:tcPr>
            <w:tcW w:type="dxa" w:w="31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0.245</w:t>
            </w:r>
          </w:p>
        </w:tc>
        <w:tc>
          <w:tcPr>
            <w:tcW w:type="dxa" w:w="31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 0.190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Win Rate (calibrated)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68.5%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 72%</w:t>
            </w:r>
          </w:p>
        </w:tc>
      </w:tr>
      <w:tr>
        <w:tc>
          <w:tcPr>
            <w:tcW w:type="dxa" w:w="31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Best Strategy ARR</w:t>
            </w:r>
          </w:p>
        </w:tc>
        <w:tc>
          <w:tcPr>
            <w:tcW w:type="dxa" w:w="31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+1,692% (backtest)</w:t>
            </w:r>
          </w:p>
        </w:tc>
        <w:tc>
          <w:tcPr>
            <w:tcW w:type="dxa" w:w="31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+2,500% (live-validated)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Live Trades Closed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 50</w:t>
            </w:r>
          </w:p>
        </w:tc>
      </w:tr>
      <w:tr>
        <w:tc>
          <w:tcPr>
            <w:tcW w:type="dxa" w:w="31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Ensemble Models Active</w:t>
            </w:r>
          </w:p>
        </w:tc>
        <w:tc>
          <w:tcPr>
            <w:tcW w:type="dxa" w:w="31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(Claude)</w:t>
            </w:r>
          </w:p>
        </w:tc>
        <w:tc>
          <w:tcPr>
            <w:tcW w:type="dxa" w:w="31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3 (Claude + GPT + Grok)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Data Feeds Integrated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(NOAA partial)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4+ (NOAA, polls, news, FRED)</w:t>
            </w:r>
          </w:p>
        </w:tc>
      </w:tr>
      <w:tr>
        <w:tc>
          <w:tcPr>
            <w:tcW w:type="dxa" w:w="31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Capital Deployed</w:t>
            </w:r>
          </w:p>
        </w:tc>
        <w:tc>
          <w:tcPr>
            <w:tcW w:type="dxa" w:w="31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$75 (paper)</w:t>
            </w:r>
          </w:p>
        </w:tc>
        <w:tc>
          <w:tcPr>
            <w:tcW w:type="dxa" w:w="31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$2,000+ (live)</w:t>
            </w:r>
          </w:p>
        </w:tc>
      </w:tr>
    </w:tbl>
    <w:p>
      <w:r>
        <w:br w:type="page"/>
      </w:r>
    </w:p>
    <w:p>
      <w:pPr>
        <w:spacing w:after="120" w:before="360"/>
      </w:pPr>
      <w:r>
        <w:rPr>
          <w:rFonts w:ascii="Arial" w:cs="Arial" w:eastAsia="Arial" w:hAnsi="Arial"/>
          <w:b/>
          <w:bCs/>
          <w:color w:val="1F4E79"/>
          <w:sz w:val="28"/>
          <w:szCs w:val="28"/>
        </w:rPr>
        <w:t xml:space="preserve">WAVE 1 — Highest ARR Impact (Do NOW)</w:t>
      </w:r>
    </w:p>
    <w:p>
      <w:pPr>
        <w:spacing w:after="60" w:before="60"/>
      </w:pPr>
      <w:r>
        <w:rPr>
          <w:rFonts w:ascii="Arial" w:cs="Arial" w:eastAsia="Arial" w:hAnsi="Arial"/>
          <w:color w:val="333333"/>
          <w:sz w:val="20"/>
          <w:szCs w:val="20"/>
        </w:rPr>
        <w:t xml:space="preserve">These tasks directly increase expected return or prove the system works live. Each is independently dispatchable. Run all in parallel.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1400"/>
        <w:gridCol w:w="1600"/>
        <w:gridCol w:w="1500"/>
      </w:tblGrid>
      <w:tr>
        <w:tc>
          <w:tcPr>
            <w:tcW w:type="dxa" w:w="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4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Tool</w:t>
            </w:r>
          </w:p>
        </w:tc>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ARR Impact</w:t>
            </w:r>
          </w:p>
        </w:tc>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Multi-Model Ensemble: Wire GPT-4o-mini + Grok-2-mini into ensemble.py. Run 532-market backtest with all 3 models. Target: ensemble Brier &lt; 0.210.</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+20–40%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Agentic RAG Pipeline: Add real-time web search (Tavily or Brave API) to Claude’s prompt. Evidence: −0.06 to −0.15 Brier (single largest improvement in literature).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+30–60%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Go Live (Week 1 Rollout): Execute pre-go-live checklist. Set LIVE_TRADING=true, $1/trade cap, 3 trades/day. Monitor for 7 days.</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Infinite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FRED/BLS Government Data Pipeline: Auto-ingest economic release consensus data. Pre-position 48h before releases on CPI, unemployment, GDP markets.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+10–25%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Pre-Resolution Exit Strategy: Implement PositionManager with sell-at-profit, cut-losses, and capital-recycling logic. Sell positions at 90%+ implied prob instead of waiting.</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+20–40%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1400"/>
        <w:gridCol w:w="1600"/>
        <w:gridCol w:w="1500"/>
      </w:tblGrid>
      <w:tr>
        <w:tc>
          <w:tcPr>
            <w:tcW w:type="dxa" w:w="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4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Tool</w:t>
            </w:r>
          </w:p>
        </w:tc>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ARR Impact</w:t>
            </w:r>
          </w:p>
        </w:tc>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Live vs Backtest Scorecard: Build real-time comparison dashboard. Track paper/live win rate, Brier, slippage, fill rate vs backtest projections. Auto-generate weekly report.</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Cowork</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Confidence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Monte Carlo Stress Test (Updated): Re-run 10K-path simulation with CalV2 parameters, ensemble projections, and fee model. Produce investor-grade confidence intervals.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Cowork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Confidence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Investor Report v3: Refresh with CalV2 results, competitive landscape, ensemble plan, live trading timeline. Incorporate deep research findings.</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Cowork</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Capital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bl>
    <w:p>
      <w:r>
        <w:br w:type="page"/>
      </w:r>
    </w:p>
    <w:p>
      <w:pPr>
        <w:spacing w:after="120" w:before="360"/>
      </w:pPr>
      <w:r>
        <w:rPr>
          <w:rFonts w:ascii="Arial" w:cs="Arial" w:eastAsia="Arial" w:hAnsi="Arial"/>
          <w:b/>
          <w:bCs/>
          <w:color w:val="1F4E79"/>
          <w:sz w:val="28"/>
          <w:szCs w:val="28"/>
        </w:rPr>
        <w:t xml:space="preserve">WAVE 2 — Compound the Edge (This Week)</w:t>
      </w:r>
    </w:p>
    <w:p>
      <w:pPr>
        <w:spacing w:after="60" w:before="60"/>
      </w:pPr>
      <w:r>
        <w:rPr>
          <w:rFonts w:ascii="Arial" w:cs="Arial" w:eastAsia="Arial" w:hAnsi="Arial"/>
          <w:color w:val="333333"/>
          <w:sz w:val="20"/>
          <w:szCs w:val="20"/>
        </w:rPr>
        <w:t xml:space="preserve">Layer additional data feeds and improve calibration infrastructure. These build on Wave 1 outputs.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1400"/>
        <w:gridCol w:w="1600"/>
        <w:gridCol w:w="1500"/>
      </w:tblGrid>
      <w:tr>
        <w:tc>
          <w:tcPr>
            <w:tcW w:type="dxa" w:w="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4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Tool</w:t>
            </w:r>
          </w:p>
        </w:tc>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ARR Impact</w:t>
            </w:r>
          </w:p>
        </w:tc>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Category-Specific Platt Calibration: Fit separate Platt parameters per category (politics, weather, economic). Backtest shows category-level ECE varies 3x. Single biggest calibration gain remaining.</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+10–20%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Polling Aggregator Integration: Ingest FiveThirtyEight + RCP polling averages for political markets. Edge #2 in backlog (composite score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+8–15%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News Sentiment Spike Detector: Integrate NewsData.io or Finnhub. Trigger re-analysis when sentiment shifts &gt;2σ from 7-day baseline. 1–6h lead time on market moves.</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+8–18%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Calibration Drift Monitor (CalV2 → Live): Implement DriftDetector from calibration_2_0_plan.md. Auto-throttle sizing when ECE exceeds thresholds. Wire into engine loop.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Risk mgmt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Continuous Backtest Evaluator: Deploy on VPS. Auto-fetch newly resolved markets daily, re-run backtest, update ARR projections. Telegram alert on performance drift.</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Confidence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1400"/>
        <w:gridCol w:w="1600"/>
        <w:gridCol w:w="1500"/>
      </w:tblGrid>
      <w:tr>
        <w:tc>
          <w:tcPr>
            <w:tcW w:type="dxa" w:w="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4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Tool</w:t>
            </w:r>
          </w:p>
        </w:tc>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ARR Impact</w:t>
            </w:r>
          </w:p>
        </w:tc>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Prompt A/B Testing Framework: Rotate prompt variants per category. Track Brier per variant over 50+ trades. Auto-promote winning prompts.</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+3–8%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Wikipedia Pageview Anomaly Detector: Hourly scan for 5x pageview spikes on entities linked to open markets. Free, high signal-to-noise (Edge #8, composite 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+5–12%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Google Trends Surge Detector: Daily scan for 3x search volume spikes mapped to open markets. Free API. Edge #7, composite 4.1.</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+5–15%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1400"/>
        <w:gridCol w:w="1600"/>
        <w:gridCol w:w="1500"/>
      </w:tblGrid>
      <w:tr>
        <w:tc>
          <w:tcPr>
            <w:tcW w:type="dxa" w:w="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4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Tool</w:t>
            </w:r>
          </w:p>
        </w:tc>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ARR Impact</w:t>
            </w:r>
          </w:p>
        </w:tc>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Fee Impact Deep Analysis: Model exact fee drag per strategy variant at $2K–$50K capital levels. Determine optimal maker vs taker mix. Quantify breakeven edges by market type.</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Cowork</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Confidence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Scaling Analysis: Model system performance at $5K, $10K, $25K, $50K, $100K. Identify capacity ceilings per market category. Determine when market impact becomes material.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Cowork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Capital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bl>
    <w:p>
      <w:r>
        <w:br w:type="page"/>
      </w:r>
    </w:p>
    <w:p>
      <w:pPr>
        <w:spacing w:after="120" w:before="360"/>
      </w:pPr>
      <w:r>
        <w:rPr>
          <w:rFonts w:ascii="Arial" w:cs="Arial" w:eastAsia="Arial" w:hAnsi="Arial"/>
          <w:b/>
          <w:bCs/>
          <w:color w:val="1F4E79"/>
          <w:sz w:val="28"/>
          <w:szCs w:val="28"/>
        </w:rPr>
        <w:t xml:space="preserve">WAVE 3 — Structural Advantages (Next 2 Weeks)</w:t>
      </w:r>
    </w:p>
    <w:p>
      <w:pPr>
        <w:spacing w:after="60" w:before="60"/>
      </w:pPr>
      <w:r>
        <w:rPr>
          <w:rFonts w:ascii="Arial" w:cs="Arial" w:eastAsia="Arial" w:hAnsi="Arial"/>
          <w:color w:val="333333"/>
          <w:sz w:val="20"/>
          <w:szCs w:val="20"/>
        </w:rPr>
        <w:t xml:space="preserve">These create durable moats and compounding advantages. Lower urgency but high long-term value.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1400"/>
        <w:gridCol w:w="1600"/>
        <w:gridCol w:w="1500"/>
      </w:tblGrid>
      <w:tr>
        <w:tc>
          <w:tcPr>
            <w:tcW w:type="dxa" w:w="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4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Tool</w:t>
            </w:r>
          </w:p>
        </w:tc>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ARR Impact</w:t>
            </w:r>
          </w:p>
        </w:tc>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Market Making (Maker Mode): Implement two-sided quoting on CLOB. 0% maker fee + 20–25% rebate. Start with 15% of capital in sandbox mode. Inventory skewing per deep research.</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+30–60%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Cross-Platform Arbitrage Monitor: Track Polymarket vs Kalshi vs Metaculus spreads. Alert when divergence &gt; 5%. Edge #16 in backlog.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+3–8%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Automated Self-Improving Architecture: Bot auto-evaluates own performance, identifies worst-performing categories/bins, and schedules re-calibration or prompt adjustment.</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Compound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Order Book Imbalance Signal: Read CLOB bid/ask depth ratio. When &gt;3:1 imbalance, add as supplementary signal to ensemble. Edge #18.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+3–8%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Resolution Rule LLM Analyzer: Automated system that reads resolution criteria fine print and flags markets where price likely ignores exact wording. Edge #9, high alpha but rare.</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Claude Code</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+10–40%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1400"/>
        <w:gridCol w:w="1600"/>
        <w:gridCol w:w="1500"/>
      </w:tblGrid>
      <w:tr>
        <w:tc>
          <w:tcPr>
            <w:tcW w:type="dxa" w:w="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4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Tool</w:t>
            </w:r>
          </w:p>
        </w:tc>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ARR Impact</w:t>
            </w:r>
          </w:p>
        </w:tc>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43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Quarterly Performance Report System: Auto-generate formatted .docx quarterly reports from bot.db data. Include P&amp;L, Brier trend, calibration curves, risk metrics.</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Cowork</w:t>
            </w:r>
          </w:p>
        </w:tc>
        <w:tc>
          <w:tcPr>
            <w:tcW w:type="dxa" w:w="1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Capital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Competitive Benchmarking Dashboard: Track OpenClaw, Fredi9999, and top public bot performance. Weekly comparison vs our system. Identify strategy gaps.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Cowork / Grok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Strategy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18"/>
                <w:szCs w:val="18"/>
              </w:rPr>
              <w:t xml:space="preserve">READY</w:t>
            </w:r>
          </w:p>
        </w:tc>
      </w:tr>
    </w:tbl>
    <w:p>
      <w:r>
        <w:br w:type="page"/>
      </w:r>
    </w:p>
    <w:p>
      <w:pPr>
        <w:spacing w:after="120" w:before="360"/>
      </w:pPr>
      <w:r>
        <w:rPr>
          <w:rFonts w:ascii="Arial" w:cs="Arial" w:eastAsia="Arial" w:hAnsi="Arial"/>
          <w:b/>
          <w:bCs/>
          <w:color w:val="1F4E79"/>
          <w:sz w:val="28"/>
          <w:szCs w:val="28"/>
        </w:rPr>
        <w:t xml:space="preserve">Dispatch Priority Guidance</w:t>
      </w:r>
    </w:p>
    <w:p>
      <w:pPr>
        <w:spacing w:after="60" w:before="60"/>
      </w:pPr>
      <w:r>
        <w:rPr>
          <w:rFonts w:ascii="Arial" w:cs="Arial" w:eastAsia="Arial" w:hAnsi="Arial"/>
          <w:b/>
          <w:bCs/>
          <w:color w:val="1F4E79"/>
          <w:sz w:val="20"/>
          <w:szCs w:val="20"/>
        </w:rPr>
        <w:t xml:space="preserve">Claude Code (highest parallelism): </w:t>
      </w:r>
      <w:r>
        <w:rPr>
          <w:rFonts w:ascii="Arial" w:cs="Arial" w:eastAsia="Arial" w:hAnsi="Arial"/>
          <w:color w:val="333333"/>
          <w:sz w:val="20"/>
          <w:szCs w:val="20"/>
        </w:rPr>
        <w:t xml:space="preserve">Tasks 1–5 immediately, tasks 9–16 as Wave 1 completes. Each task is a self-contained prompt. Paste COMMAND_NODE.md + task description. Target: 3–4 tasks running concurrently.</w:t>
      </w:r>
    </w:p>
    <w:p>
      <w:pPr>
        <w:spacing w:before="60"/>
      </w:pPr>
    </w:p>
    <w:p>
      <w:pPr>
        <w:spacing w:after="60" w:before="60"/>
      </w:pPr>
      <w:r>
        <w:rPr>
          <w:rFonts w:ascii="Arial" w:cs="Arial" w:eastAsia="Arial" w:hAnsi="Arial"/>
          <w:b/>
          <w:bCs/>
          <w:color w:val="1F4E79"/>
          <w:sz w:val="20"/>
          <w:szCs w:val="20"/>
        </w:rPr>
        <w:t xml:space="preserve">Cowork: </w:t>
      </w:r>
      <w:r>
        <w:rPr>
          <w:rFonts w:ascii="Arial" w:cs="Arial" w:eastAsia="Arial" w:hAnsi="Arial"/>
          <w:color w:val="333333"/>
          <w:sz w:val="20"/>
          <w:szCs w:val="20"/>
        </w:rPr>
        <w:t xml:space="preserve">Tasks 6–8 now, tasks 17–18 mid-week, tasks 24–25 end of week. These produce investor materials and confidence-building analysis.</w:t>
      </w:r>
    </w:p>
    <w:p>
      <w:pPr>
        <w:spacing w:before="60"/>
      </w:pPr>
    </w:p>
    <w:p>
      <w:pPr>
        <w:spacing w:after="60" w:before="60"/>
      </w:pPr>
      <w:r>
        <w:rPr>
          <w:rFonts w:ascii="Arial" w:cs="Arial" w:eastAsia="Arial" w:hAnsi="Arial"/>
          <w:b/>
          <w:bCs/>
          <w:color w:val="1F4E79"/>
          <w:sz w:val="20"/>
          <w:szCs w:val="20"/>
        </w:rPr>
        <w:t xml:space="preserve">ChatGPT Deep Research: </w:t>
      </w:r>
      <w:r>
        <w:rPr>
          <w:rFonts w:ascii="Arial" w:cs="Arial" w:eastAsia="Arial" w:hAnsi="Arial"/>
          <w:color w:val="333333"/>
          <w:sz w:val="20"/>
          <w:szCs w:val="20"/>
        </w:rPr>
        <w:t xml:space="preserve">Use for any Wave 2–3 task that needs web-sourced data (polling methodology, news API comparison, Metaculus analysis). Dispatch alongside Claude Code tasks.</w:t>
      </w:r>
    </w:p>
    <w:p>
      <w:pPr>
        <w:spacing w:before="60"/>
      </w:pPr>
    </w:p>
    <w:p>
      <w:pPr>
        <w:spacing w:after="60" w:before="60"/>
      </w:pPr>
      <w:r>
        <w:rPr>
          <w:rFonts w:ascii="Arial" w:cs="Arial" w:eastAsia="Arial" w:hAnsi="Arial"/>
          <w:b/>
          <w:bCs/>
          <w:color w:val="1F4E79"/>
          <w:sz w:val="20"/>
          <w:szCs w:val="20"/>
        </w:rPr>
        <w:t xml:space="preserve">Grok: </w:t>
      </w:r>
      <w:r>
        <w:rPr>
          <w:rFonts w:ascii="Arial" w:cs="Arial" w:eastAsia="Arial" w:hAnsi="Arial"/>
          <w:color w:val="333333"/>
          <w:sz w:val="20"/>
          <w:szCs w:val="20"/>
        </w:rPr>
        <w:t xml:space="preserve">Task 25 (competitive benchmarking) + real-time X/Twitter sentiment for task 11. Best for live data that changes hourly.</w:t>
      </w:r>
    </w:p>
    <w:p>
      <w:pPr>
        <w:spacing w:before="240"/>
      </w:pPr>
    </w:p>
    <w:p>
      <w:pPr>
        <w:spacing w:after="120" w:before="360"/>
      </w:pPr>
      <w:r>
        <w:rPr>
          <w:rFonts w:ascii="Arial" w:cs="Arial" w:eastAsia="Arial" w:hAnsi="Arial"/>
          <w:b/>
          <w:bCs/>
          <w:color w:val="1F4E79"/>
          <w:sz w:val="28"/>
          <w:szCs w:val="28"/>
        </w:rPr>
        <w:t xml:space="preserve">Expected ARR After Sprint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Scenario</w:t>
            </w:r>
          </w:p>
        </w:tc>
        <w:tc>
          <w:tcPr>
            <w:tcW w:type="dxa" w:w="23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Brier</w:t>
            </w:r>
          </w:p>
        </w:tc>
        <w:tc>
          <w:tcPr>
            <w:tcW w:type="dxa" w:w="23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Win Rate</w:t>
            </w:r>
          </w:p>
        </w:tc>
        <w:tc>
          <w:tcPr>
            <w:tcW w:type="dxa" w:w="23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Projected ARR</w:t>
            </w:r>
          </w:p>
        </w:tc>
      </w:tr>
      <w:tr>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(backtest)</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0.217</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68.5%</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+1,692%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After Wave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~0.195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+2,500–3,500%</w:t>
            </w:r>
          </w:p>
        </w:tc>
      </w:tr>
      <w:tr>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After Wave 2</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~0.180</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~73%</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0B6623"/>
                <w:sz w:val="18"/>
                <w:szCs w:val="18"/>
              </w:rPr>
              <w:t xml:space="preserve">+3,500–5,000%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After Wave 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~0.160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B6623"/>
                <w:sz w:val="18"/>
                <w:szCs w:val="18"/>
              </w:rPr>
              <w:t xml:space="preserve">+5,000–8,000%</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18"/>
                <w:szCs w:val="18"/>
              </w:rPr>
              <w:t xml:space="preserve">Frontier target</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0.075–0.10</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~80%+</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0B6623"/>
                <w:sz w:val="18"/>
                <w:szCs w:val="18"/>
              </w:rPr>
              <w:t xml:space="preserve">+10,000%+</w:t>
            </w:r>
          </w:p>
        </w:tc>
      </w:tr>
    </w:tbl>
    <w:p>
      <w:pPr>
        <w:spacing w:before="240"/>
      </w:pPr>
    </w:p>
    <w:p>
      <w:pPr>
        <w:spacing w:after="120" w:before="360"/>
      </w:pPr>
      <w:r>
        <w:rPr>
          <w:rFonts w:ascii="Arial" w:cs="Arial" w:eastAsia="Arial" w:hAnsi="Arial"/>
          <w:b/>
          <w:bCs/>
          <w:color w:val="1F4E79"/>
          <w:sz w:val="28"/>
          <w:szCs w:val="28"/>
        </w:rPr>
        <w:t xml:space="preserve">Key Principle</w:t>
      </w:r>
    </w:p>
    <w:p>
      <w:pPr>
        <w:spacing w:after="60" w:before="60"/>
      </w:pPr>
      <w:r>
        <w:rPr>
          <w:rFonts w:ascii="Arial" w:cs="Arial" w:eastAsia="Arial" w:hAnsi="Arial"/>
          <w:color w:val="333333"/>
          <w:sz w:val="20"/>
          <w:szCs w:val="20"/>
        </w:rPr>
        <w:t xml:space="preserve">Every task in this sprint either (1) directly increases expected return by improving Brier score, win rate, or capital velocity, or (2) increases confidence in those returns by producing live validation data and investor-grade evidence. Nothing else makes the cut. Ship fast, measure everything, compound.</w:t>
      </w:r>
    </w:p>
    <w:p>
      <w:pPr>
        <w:spacing w:before="240"/>
      </w:pPr>
    </w:p>
    <w:p>
      <w:pPr>
        <w:pBdr>
          <w:top w:val="single" w:color="1F4E79" w:sz="2" w:space="8"/>
        </w:pBdr>
        <w:spacing w:before="120"/>
      </w:pPr>
      <w:r>
        <w:rPr>
          <w:rFonts w:ascii="Arial" w:cs="Arial" w:eastAsia="Arial" w:hAnsi="Arial"/>
          <w:i/>
          <w:iCs/>
          <w:color w:val="999999"/>
          <w:sz w:val="16"/>
          <w:szCs w:val="16"/>
        </w:rPr>
        <w:t xml:space="preserve">Document generated 2026-03-06. Updates trigger COMMAND_NODE version increment per SOP.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color w:val="888888"/>
        <w:sz w:val="16"/>
        <w:szCs w:val="16"/>
      </w:rPr>
      <w:t xml:space="preserve">Predictive Alpha Fund  |  Next Sprint Tasks  |  2026-03-06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2026-03-06T08:16:10.557Z</dcterms:created>
  <dcterms:modified xsi:type="dcterms:W3CDTF">2026-03-06T08:16:10.557Z</dcterms:modified>
</cp:coreProperties>
</file>

<file path=docProps/custom.xml><?xml version="1.0" encoding="utf-8"?>
<Properties xmlns="http://schemas.openxmlformats.org/officeDocument/2006/custom-properties" xmlns:vt="http://schemas.openxmlformats.org/officeDocument/2006/docPropsVTypes"/>
</file>