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F4F6F9" w:val="clear"/>
            <w:tcMar>
              <w:top w:type="dxa" w:w="100"/>
              <w:left w:type="dxa" w:w="140"/>
              <w:bottom w:type="dxa" w:w="100"/>
              <w:right w:type="dxa" w:w="140"/>
            </w:tcMar>
            <w:vAlign w:val="center"/>
          </w:tcPr>
          <w:p>
            <w:pPr>
              <w:spacing w:after="40"/>
              <w:jc w:val="center"/>
            </w:pPr>
            <w:r>
              <w:rPr>
                <w:rFonts w:ascii="Arial" w:cs="Arial" w:eastAsia="Arial" w:hAnsi="Arial"/>
                <w:b/>
                <w:bCs/>
                <w:color w:val="1B2A4A"/>
                <w:sz w:val="32"/>
                <w:szCs w:val="32"/>
              </w:rPr>
              <w:t xml:space="preserve">83.1%</w:t>
            </w:r>
          </w:p>
          <w:p>
            <w:pPr>
              <w:jc w:val="center"/>
            </w:pPr>
            <w:r>
              <w:rPr>
                <w:rFonts w:ascii="Arial" w:cs="Arial" w:eastAsia="Arial" w:hAnsi="Arial"/>
                <w:color w:val="666666"/>
                <w:sz w:val="16"/>
                <w:szCs w:val="16"/>
              </w:rPr>
              <w:t xml:space="preserve">WIN RATE</w:t>
            </w:r>
          </w:p>
        </w:tc>
        <w:tc>
          <w:tcPr>
            <w:tcW w:type="dxa" w:w="2340"/>
            <w:tcBorders>
              <w:top w:val="none" w:sz="0"/>
              <w:left w:val="none" w:sz="0"/>
              <w:bottom w:val="none" w:sz="0"/>
              <w:right w:val="none" w:sz="0"/>
            </w:tcBorders>
            <w:tcMar>
              <w:top w:type="dxa" w:w="100"/>
              <w:left w:type="dxa" w:w="140"/>
              <w:bottom w:type="dxa" w:w="100"/>
              <w:right w:type="dxa" w:w="140"/>
            </w:tcMar>
            <w:vAlign w:val="center"/>
          </w:tcPr>
          <w:p>
            <w:pPr>
              <w:spacing w:after="40"/>
              <w:jc w:val="center"/>
            </w:pPr>
            <w:r>
              <w:rPr>
                <w:rFonts w:ascii="Arial" w:cs="Arial" w:eastAsia="Arial" w:hAnsi="Arial"/>
                <w:b/>
                <w:bCs/>
                <w:color w:val="1B2A4A"/>
                <w:sz w:val="32"/>
                <w:szCs w:val="32"/>
              </w:rPr>
              <w:t xml:space="preserve">+269%</w:t>
            </w:r>
          </w:p>
          <w:p>
            <w:pPr>
              <w:jc w:val="center"/>
            </w:pPr>
            <w:r>
              <w:rPr>
                <w:rFonts w:ascii="Arial" w:cs="Arial" w:eastAsia="Arial" w:hAnsi="Arial"/>
                <w:color w:val="666666"/>
                <w:sz w:val="16"/>
                <w:szCs w:val="16"/>
              </w:rPr>
              <w:t xml:space="preserve">EST. ANNUAL RETURN</w:t>
            </w:r>
          </w:p>
        </w:tc>
        <w:tc>
          <w:tcPr>
            <w:tcW w:type="dxa" w:w="2340"/>
            <w:tcBorders>
              <w:top w:val="none" w:sz="0"/>
              <w:left w:val="none" w:sz="0"/>
              <w:bottom w:val="none" w:sz="0"/>
              <w:right w:val="none" w:sz="0"/>
            </w:tcBorders>
            <w:shd w:fill="F4F6F9" w:val="clear"/>
            <w:tcMar>
              <w:top w:type="dxa" w:w="100"/>
              <w:left w:type="dxa" w:w="140"/>
              <w:bottom w:type="dxa" w:w="100"/>
              <w:right w:type="dxa" w:w="140"/>
            </w:tcMar>
            <w:vAlign w:val="center"/>
          </w:tcPr>
          <w:p>
            <w:pPr>
              <w:spacing w:after="40"/>
              <w:jc w:val="center"/>
            </w:pPr>
            <w:r>
              <w:rPr>
                <w:rFonts w:ascii="Arial" w:cs="Arial" w:eastAsia="Arial" w:hAnsi="Arial"/>
                <w:b/>
                <w:bCs/>
                <w:color w:val="1B2A4A"/>
                <w:sz w:val="32"/>
                <w:szCs w:val="32"/>
              </w:rPr>
              <w:t xml:space="preserve">0.0%</w:t>
            </w:r>
          </w:p>
          <w:p>
            <w:pPr>
              <w:jc w:val="center"/>
            </w:pPr>
            <w:r>
              <w:rPr>
                <w:rFonts w:ascii="Arial" w:cs="Arial" w:eastAsia="Arial" w:hAnsi="Arial"/>
                <w:color w:val="666666"/>
                <w:sz w:val="16"/>
                <w:szCs w:val="16"/>
              </w:rPr>
              <w:t xml:space="preserve">PROB. OF TOTAL LOSS</w:t>
            </w:r>
          </w:p>
        </w:tc>
        <w:tc>
          <w:tcPr>
            <w:tcW w:type="dxa" w:w="2340"/>
            <w:tcBorders>
              <w:top w:val="none" w:sz="0"/>
              <w:left w:val="none" w:sz="0"/>
              <w:bottom w:val="none" w:sz="0"/>
              <w:right w:val="none" w:sz="0"/>
            </w:tcBorders>
            <w:tcMar>
              <w:top w:type="dxa" w:w="100"/>
              <w:left w:type="dxa" w:w="140"/>
              <w:bottom w:type="dxa" w:w="100"/>
              <w:right w:type="dxa" w:w="140"/>
            </w:tcMar>
            <w:vAlign w:val="center"/>
          </w:tcPr>
          <w:p>
            <w:pPr>
              <w:spacing w:after="40"/>
              <w:jc w:val="center"/>
            </w:pPr>
            <w:r>
              <w:rPr>
                <w:rFonts w:ascii="Arial" w:cs="Arial" w:eastAsia="Arial" w:hAnsi="Arial"/>
                <w:b/>
                <w:bCs/>
                <w:color w:val="1B2A4A"/>
                <w:sz w:val="32"/>
                <w:szCs w:val="32"/>
              </w:rPr>
              <w:t xml:space="preserve">24/7</w:t>
            </w:r>
          </w:p>
          <w:p>
            <w:pPr>
              <w:jc w:val="center"/>
            </w:pPr>
            <w:r>
              <w:rPr>
                <w:rFonts w:ascii="Arial" w:cs="Arial" w:eastAsia="Arial" w:hAnsi="Arial"/>
                <w:color w:val="666666"/>
                <w:sz w:val="16"/>
                <w:szCs w:val="16"/>
              </w:rPr>
              <w:t xml:space="preserve">AUTOMATED TRADING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sz="0"/>
              <w:left w:val="none" w:sz="0"/>
              <w:bottom w:val="none" w:sz="0"/>
              <w:right w:val="none" w:sz="0"/>
            </w:tcBorders>
            <w:tcMar>
              <w:top w:type="dxa" w:w="0"/>
              <w:left w:type="dxa" w:w="0"/>
              <w:bottom w:type="dxa" w:w="0"/>
              <w:right w:type="dxa" w:w="200"/>
            </w:tcMar>
          </w:tcPr>
          <w:p>
            <w:pPr>
              <w:pBdr>
                <w:bottom w:val="single" w:color="2E75B6" w:sz="4" w:space="4"/>
              </w:pBdr>
              <w:spacing w:after="100" w:before="200"/>
            </w:pPr>
            <w:r>
              <w:rPr>
                <w:rFonts w:ascii="Arial" w:cs="Arial" w:eastAsia="Arial" w:hAnsi="Arial"/>
                <w:b/>
                <w:bCs/>
                <w:color w:val="1B2A4A"/>
                <w:sz w:val="20"/>
                <w:szCs w:val="20"/>
              </w:rPr>
              <w:t xml:space="preserve">WHAT IS THIS?</w:t>
            </w:r>
          </w:p>
          <w:p>
            <w:pPr>
              <w:spacing w:after="80"/>
              <w:jc w:val="left"/>
            </w:pPr>
            <w:r>
              <w:rPr>
                <w:rFonts w:ascii="Arial" w:cs="Arial" w:eastAsia="Arial" w:hAnsi="Arial"/>
                <w:color w:val="333333"/>
                <w:sz w:val="19"/>
                <w:szCs w:val="19"/>
              </w:rPr>
              <w:t xml:space="preserve">Predictive Alpha Fund is an AI-powered automated trading system that exploits pricing inefficiencies in prediction markets on Polymarket, the world’s largest prediction market platform.</w:t>
            </w:r>
          </w:p>
          <w:p>
            <w:pPr>
              <w:pBdr>
                <w:bottom w:val="single" w:color="2E75B6" w:sz="4" w:space="4"/>
              </w:pBdr>
              <w:spacing w:after="100" w:before="200"/>
            </w:pPr>
            <w:r>
              <w:rPr>
                <w:rFonts w:ascii="Arial" w:cs="Arial" w:eastAsia="Arial" w:hAnsi="Arial"/>
                <w:b/>
                <w:bCs/>
                <w:color w:val="1B2A4A"/>
                <w:sz w:val="20"/>
                <w:szCs w:val="20"/>
              </w:rPr>
              <w:t xml:space="preserve">HOW IT WORKS</w:t>
            </w:r>
          </w:p>
          <w:p>
            <w:pPr>
              <w:spacing w:after="80"/>
              <w:jc w:val="left"/>
            </w:pPr>
            <w:r>
              <w:rPr>
                <w:rFonts w:ascii="Arial" w:cs="Arial" w:eastAsia="Arial" w:hAnsi="Arial"/>
                <w:color w:val="333333"/>
                <w:sz w:val="19"/>
                <w:szCs w:val="19"/>
              </w:rPr>
              <w:t xml:space="preserve">Our AI ensemble reads hundreds of prediction market questions every 5 minutes and estimates the true probability of each outcome—without seeing the market price. When the AI’s estimate diverges significantly from the crowd’s price, it places a trade. Think of it as a poker player who calculates odds faster and more accurately than the rest of the table, running around the clock.</w:t>
            </w:r>
          </w:p>
          <w:p>
            <w:pPr>
              <w:pBdr>
                <w:bottom w:val="single" w:color="2E75B6" w:sz="4" w:space="4"/>
              </w:pBdr>
              <w:spacing w:after="100" w:before="200"/>
            </w:pPr>
            <w:r>
              <w:rPr>
                <w:rFonts w:ascii="Arial" w:cs="Arial" w:eastAsia="Arial" w:hAnsi="Arial"/>
                <w:b/>
                <w:bCs/>
                <w:color w:val="1B2A4A"/>
                <w:sz w:val="20"/>
                <w:szCs w:val="20"/>
              </w:rPr>
              <w:t xml:space="preserve">WHAT MAKES THIS DIFFERENT?</w:t>
            </w:r>
          </w:p>
          <w:p>
            <w:pPr>
              <w:spacing w:after="60"/>
            </w:pPr>
            <w:r>
              <w:rPr>
                <w:rFonts w:ascii="Arial" w:cs="Arial" w:eastAsia="Arial" w:hAnsi="Arial"/>
                <w:b/>
                <w:bCs/>
                <w:color w:val="1B2A4A"/>
                <w:sz w:val="19"/>
                <w:szCs w:val="19"/>
              </w:rPr>
              <w:t xml:space="preserve">NO-Bias Edge: </w:t>
            </w:r>
            <w:r>
              <w:rPr>
                <w:rFonts w:ascii="Arial" w:cs="Arial" w:eastAsia="Arial" w:hAnsi="Arial"/>
                <w:color w:val="333333"/>
                <w:sz w:val="19"/>
                <w:szCs w:val="19"/>
              </w:rPr>
              <w:t xml:space="preserve">Crowds overprice exciting outcomes. Betting NO wins 76% of the time vs. 56% for YES.</w:t>
            </w:r>
          </w:p>
          <w:p>
            <w:pPr>
              <w:spacing w:after="60"/>
            </w:pPr>
            <w:r>
              <w:rPr>
                <w:rFonts w:ascii="Arial" w:cs="Arial" w:eastAsia="Arial" w:hAnsi="Arial"/>
                <w:b/>
                <w:bCs/>
                <w:color w:val="1B2A4A"/>
                <w:sz w:val="19"/>
                <w:szCs w:val="19"/>
              </w:rPr>
              <w:t xml:space="preserve">Multi-Model Ensemble: </w:t>
            </w:r>
            <w:r>
              <w:rPr>
                <w:rFonts w:ascii="Arial" w:cs="Arial" w:eastAsia="Arial" w:hAnsi="Arial"/>
                <w:color w:val="333333"/>
                <w:sz w:val="19"/>
                <w:szCs w:val="19"/>
              </w:rPr>
              <w:t xml:space="preserve">Claude, GPT-4o-mini, and Grok-2 cross-validate estimates to reduce single-model error.</w:t>
            </w:r>
          </w:p>
          <w:p>
            <w:pPr>
              <w:spacing w:after="60"/>
            </w:pPr>
            <w:r>
              <w:rPr>
                <w:rFonts w:ascii="Arial" w:cs="Arial" w:eastAsia="Arial" w:hAnsi="Arial"/>
                <w:b/>
                <w:bCs/>
                <w:color w:val="1B2A4A"/>
                <w:sz w:val="19"/>
                <w:szCs w:val="19"/>
              </w:rPr>
              <w:t xml:space="preserve">Uncorrelated Returns: </w:t>
            </w:r>
            <w:r>
              <w:rPr>
                <w:rFonts w:ascii="Arial" w:cs="Arial" w:eastAsia="Arial" w:hAnsi="Arial"/>
                <w:color w:val="333333"/>
                <w:sz w:val="19"/>
                <w:szCs w:val="19"/>
              </w:rPr>
              <w:t xml:space="preserve">Prediction market outcomes are independent of stocks, bonds, and crypto.</w:t>
            </w:r>
          </w:p>
          <w:p>
            <w:pPr>
              <w:spacing w:after="60"/>
            </w:pPr>
            <w:r>
              <w:rPr>
                <w:rFonts w:ascii="Arial" w:cs="Arial" w:eastAsia="Arial" w:hAnsi="Arial"/>
                <w:b/>
                <w:bCs/>
                <w:color w:val="1B2A4A"/>
                <w:sz w:val="19"/>
                <w:szCs w:val="19"/>
              </w:rPr>
              <w:t xml:space="preserve">Zero Emotion: </w:t>
            </w:r>
            <w:r>
              <w:rPr>
                <w:rFonts w:ascii="Arial" w:cs="Arial" w:eastAsia="Arial" w:hAnsi="Arial"/>
                <w:color w:val="333333"/>
                <w:sz w:val="19"/>
                <w:szCs w:val="19"/>
              </w:rPr>
              <w:t xml:space="preserve">Fully automated—no FOMO, no anchoring bias, no sleep.</w:t>
            </w:r>
          </w:p>
          <w:p>
            <w:pPr>
              <w:pBdr>
                <w:bottom w:val="single" w:color="2E75B6" w:sz="4" w:space="4"/>
              </w:pBdr>
              <w:spacing w:after="100" w:before="200"/>
            </w:pPr>
            <w:r>
              <w:rPr>
                <w:rFonts w:ascii="Arial" w:cs="Arial" w:eastAsia="Arial" w:hAnsi="Arial"/>
                <w:b/>
                <w:bCs/>
                <w:color w:val="1B2A4A"/>
                <w:sz w:val="20"/>
                <w:szCs w:val="20"/>
              </w:rPr>
              <w:t xml:space="preserve">EQUITY CURVE (BACKTEST)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rPr>
                <w:trHeight w:val="1200" w:hRule="exact"/>
              </w:trPr>
              <w:tc>
                <w:tcPr>
                  <w:tcW w:type="dxa" w:w="540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center"/>
                  </w:pPr>
                  <w:r>
                    <w:rPr>
                      <w:rFonts w:ascii="Arial" w:cs="Arial" w:eastAsia="Arial" w:hAnsi="Arial"/>
                      <w:i/>
                      <w:iCs/>
                      <w:color w:val="999999"/>
                      <w:sz w:val="17"/>
                      <w:szCs w:val="17"/>
                    </w:rPr>
                    <w:t xml:space="preserve">[Insert equity_curve.png here]</w:t>
                  </w:r>
                </w:p>
                <w:p>
                  <w:pPr>
                    <w:spacing w:before="40"/>
                    <w:jc w:val="center"/>
                  </w:pPr>
                  <w:r>
                    <w:rPr>
                      <w:rFonts w:ascii="Arial" w:cs="Arial" w:eastAsia="Arial" w:hAnsi="Arial"/>
                      <w:color w:val="999999"/>
                      <w:sz w:val="15"/>
                      <w:szCs w:val="15"/>
                    </w:rPr>
                    <w:t xml:space="preserve">470 trades • Simulated portfolio growth</w:t>
                  </w:r>
                </w:p>
              </w:tc>
            </w:tr>
          </w:tbl>
          <w:p/>
        </w:tc>
        <w:tc>
          <w:tcPr>
            <w:tcW w:type="dxa" w:w="3560"/>
            <w:tcBorders>
              <w:top w:val="none" w:sz="0"/>
              <w:left w:val="none" w:sz="0"/>
              <w:bottom w:val="none" w:sz="0"/>
              <w:right w:val="none" w:sz="0"/>
            </w:tcBorders>
            <w:tcMar>
              <w:top w:type="dxa" w:w="0"/>
              <w:left w:type="dxa" w:w="200"/>
              <w:bottom w:type="dxa" w:w="0"/>
              <w:right w:type="dxa" w:w="0"/>
            </w:tcMar>
          </w:tcPr>
          <w:p>
            <w:pPr>
              <w:pBdr>
                <w:bottom w:val="single" w:color="2E75B6" w:sz="4" w:space="4"/>
              </w:pBdr>
              <w:spacing w:after="100" w:before="200"/>
            </w:pPr>
            <w:r>
              <w:rPr>
                <w:rFonts w:ascii="Arial" w:cs="Arial" w:eastAsia="Arial" w:hAnsi="Arial"/>
                <w:b/>
                <w:bCs/>
                <w:color w:val="1B2A4A"/>
                <w:sz w:val="20"/>
                <w:szCs w:val="20"/>
              </w:rPr>
              <w:t xml:space="preserve">TRACK RECORD (BACKTESTED)</w:t>
            </w:r>
          </w:p>
          <w:p>
            <w:pPr>
              <w:spacing w:after="50"/>
            </w:pPr>
            <w:r>
              <w:rPr>
                <w:rFonts w:ascii="Arial" w:cs="Arial" w:eastAsia="Arial" w:hAnsi="Arial"/>
                <w:b/>
                <w:bCs/>
                <w:color w:val="1B2A4A"/>
                <w:sz w:val="19"/>
                <w:szCs w:val="19"/>
              </w:rPr>
              <w:t xml:space="preserve">532</w:t>
            </w:r>
            <w:r>
              <w:rPr>
                <w:rFonts w:ascii="Arial" w:cs="Arial" w:eastAsia="Arial" w:hAnsi="Arial"/>
                <w:color w:val="666666"/>
                <w:sz w:val="17"/>
                <w:szCs w:val="17"/>
              </w:rPr>
              <w:t xml:space="preserve"> markets analyzed  •  </w:t>
            </w:r>
            <w:r>
              <w:rPr>
                <w:rFonts w:ascii="Arial" w:cs="Arial" w:eastAsia="Arial" w:hAnsi="Arial"/>
                <w:b/>
                <w:bCs/>
                <w:color w:val="1B2A4A"/>
                <w:sz w:val="19"/>
                <w:szCs w:val="19"/>
              </w:rPr>
              <w:t xml:space="preserve">470</w:t>
            </w:r>
            <w:r>
              <w:rPr>
                <w:rFonts w:ascii="Arial" w:cs="Arial" w:eastAsia="Arial" w:hAnsi="Arial"/>
                <w:color w:val="666666"/>
                <w:sz w:val="17"/>
                <w:szCs w:val="17"/>
              </w:rPr>
              <w:t xml:space="preserve"> trades</w:t>
            </w:r>
          </w:p>
          <w:p>
            <w:pPr>
              <w:spacing w:after="50"/>
            </w:pPr>
            <w:r>
              <w:rPr>
                <w:rFonts w:ascii="Arial" w:cs="Arial" w:eastAsia="Arial" w:hAnsi="Arial"/>
                <w:color w:val="666666"/>
                <w:sz w:val="17"/>
                <w:szCs w:val="17"/>
              </w:rPr>
              <w:t xml:space="preserve">Best strategy: </w:t>
            </w:r>
            <w:r>
              <w:rPr>
                <w:rFonts w:ascii="Arial" w:cs="Arial" w:eastAsia="Arial" w:hAnsi="Arial"/>
                <w:b/>
                <w:bCs/>
                <w:color w:val="1B2A4A"/>
                <w:sz w:val="19"/>
                <w:szCs w:val="19"/>
              </w:rPr>
              <w:t xml:space="preserve">83.1% win rate</w:t>
            </w:r>
          </w:p>
          <w:p>
            <w:pPr>
              <w:spacing w:after="50"/>
            </w:pPr>
            <w:r>
              <w:rPr>
                <w:rFonts w:ascii="Arial" w:cs="Arial" w:eastAsia="Arial" w:hAnsi="Arial"/>
                <w:color w:val="666666"/>
                <w:sz w:val="17"/>
                <w:szCs w:val="17"/>
              </w:rPr>
              <w:t xml:space="preserve">NO-side win rate: </w:t>
            </w:r>
            <w:r>
              <w:rPr>
                <w:rFonts w:ascii="Arial" w:cs="Arial" w:eastAsia="Arial" w:hAnsi="Arial"/>
                <w:b/>
                <w:bCs/>
                <w:color w:val="1B2A4A"/>
                <w:sz w:val="19"/>
                <w:szCs w:val="19"/>
              </w:rPr>
              <w:t xml:space="preserve">76.2%</w:t>
            </w:r>
          </w:p>
          <w:p>
            <w:pPr>
              <w:spacing w:after="50"/>
            </w:pPr>
            <w:r>
              <w:rPr>
                <w:rFonts w:ascii="Arial" w:cs="Arial" w:eastAsia="Arial" w:hAnsi="Arial"/>
                <w:color w:val="666666"/>
                <w:sz w:val="17"/>
                <w:szCs w:val="17"/>
              </w:rPr>
              <w:t xml:space="preserve">Avg profit/trade: </w:t>
            </w:r>
            <w:r>
              <w:rPr>
                <w:rFonts w:ascii="Arial" w:cs="Arial" w:eastAsia="Arial" w:hAnsi="Arial"/>
                <w:b/>
                <w:bCs/>
                <w:color w:val="1B2A4A"/>
                <w:sz w:val="19"/>
                <w:szCs w:val="19"/>
              </w:rPr>
              <w:t xml:space="preserve">+30%</w:t>
            </w:r>
          </w:p>
          <w:p>
            <w:pPr>
              <w:spacing w:after="50"/>
            </w:pPr>
            <w:r>
              <w:rPr>
                <w:rFonts w:ascii="Arial" w:cs="Arial" w:eastAsia="Arial" w:hAnsi="Arial"/>
                <w:color w:val="666666"/>
                <w:sz w:val="17"/>
                <w:szCs w:val="17"/>
              </w:rPr>
              <w:t xml:space="preserve">Monte Carlo (10K sims): </w:t>
            </w:r>
            <w:r>
              <w:rPr>
                <w:rFonts w:ascii="Arial" w:cs="Arial" w:eastAsia="Arial" w:hAnsi="Arial"/>
                <w:b/>
                <w:bCs/>
                <w:color w:val="1B2A4A"/>
                <w:sz w:val="19"/>
                <w:szCs w:val="19"/>
              </w:rPr>
              <w:t xml:space="preserve">0% ruin probability</w:t>
            </w:r>
          </w:p>
          <w:p>
            <w:pPr>
              <w:spacing w:after="80"/>
            </w:pPr>
          </w:p>
          <w:p>
            <w:pPr>
              <w:pBdr>
                <w:bottom w:val="single" w:color="2E75B6" w:sz="4" w:space="4"/>
              </w:pBdr>
              <w:spacing w:after="100" w:before="200"/>
            </w:pPr>
            <w:r>
              <w:rPr>
                <w:rFonts w:ascii="Arial" w:cs="Arial" w:eastAsia="Arial" w:hAnsi="Arial"/>
                <w:b/>
                <w:bCs/>
                <w:color w:val="1B2A4A"/>
                <w:sz w:val="20"/>
                <w:szCs w:val="20"/>
              </w:rPr>
              <w:t xml:space="preserve">INVESTMENT TERMS</w:t>
            </w:r>
          </w:p>
          <w:tbl>
            <w:tblPr>
              <w:tblW w:type="dxa" w:w="3160"/>
              <w:tblBorders>
                <w:top w:val="single" w:color="auto" w:sz="4"/>
                <w:left w:val="single" w:color="auto" w:sz="4"/>
                <w:bottom w:val="single" w:color="auto" w:sz="4"/>
                <w:right w:val="single" w:color="auto" w:sz="4"/>
                <w:insideH w:val="single" w:color="auto" w:sz="4"/>
                <w:insideV w:val="single" w:color="auto" w:sz="4"/>
              </w:tblBorders>
            </w:tblPr>
            <w:tblGrid>
              <w:gridCol w:w="1700"/>
              <w:gridCol w:w="1460"/>
            </w:tblGrid>
            <w:tr>
              <w:tc>
                <w:tcPr>
                  <w:tcW w:type="dxa" w:w="1700"/>
                  <w:tcBorders>
                    <w:top w:val="none" w:sz="0"/>
                    <w:left w:val="none" w:sz="0"/>
                    <w:bottom w:val="single" w:color="E0E0E0" w:sz="1"/>
                    <w:right w:val="none" w:sz="0"/>
                  </w:tcBorders>
                  <w:tcMar>
                    <w:top w:type="dxa" w:w="50"/>
                    <w:left w:type="dxa" w:w="80"/>
                    <w:bottom w:type="dxa" w:w="50"/>
                    <w:right w:type="dxa" w:w="40"/>
                  </w:tcMar>
                </w:tcPr>
                <w:p>
                  <w:r>
                    <w:rPr>
                      <w:rFonts w:ascii="Arial" w:cs="Arial" w:eastAsia="Arial" w:hAnsi="Arial"/>
                      <w:color w:val="666666"/>
                      <w:sz w:val="17"/>
                      <w:szCs w:val="17"/>
                    </w:rPr>
                    <w:t xml:space="preserve">Minimum</w:t>
                  </w:r>
                </w:p>
              </w:tc>
              <w:tc>
                <w:tcPr>
                  <w:tcW w:type="dxa" w:w="1460"/>
                  <w:tcBorders>
                    <w:top w:val="none" w:sz="0"/>
                    <w:left w:val="none" w:sz="0"/>
                    <w:bottom w:val="single" w:color="E0E0E0" w:sz="1"/>
                    <w:right w:val="none" w:sz="0"/>
                  </w:tcBorders>
                  <w:tcMar>
                    <w:top w:type="dxa" w:w="50"/>
                    <w:left w:type="dxa" w:w="40"/>
                    <w:bottom w:type="dxa" w:w="50"/>
                    <w:right w:type="dxa" w:w="80"/>
                  </w:tcMar>
                </w:tcPr>
                <w:p>
                  <w:pPr>
                    <w:jc w:val="right"/>
                  </w:pPr>
                  <w:r>
                    <w:rPr>
                      <w:rFonts w:ascii="Arial" w:cs="Arial" w:eastAsia="Arial" w:hAnsi="Arial"/>
                      <w:b/>
                      <w:bCs/>
                      <w:color w:val="1B2A4A"/>
                      <w:sz w:val="17"/>
                      <w:szCs w:val="17"/>
                    </w:rPr>
                    <w:t xml:space="preserve">$1,000</w:t>
                  </w:r>
                </w:p>
              </w:tc>
            </w:tr>
            <w:tr>
              <w:tc>
                <w:tcPr>
                  <w:tcW w:type="dxa" w:w="1700"/>
                  <w:tcBorders>
                    <w:top w:val="none" w:sz="0"/>
                    <w:left w:val="none" w:sz="0"/>
                    <w:bottom w:val="single" w:color="E0E0E0" w:sz="1"/>
                    <w:right w:val="none" w:sz="0"/>
                  </w:tcBorders>
                  <w:tcMar>
                    <w:top w:type="dxa" w:w="50"/>
                    <w:left w:type="dxa" w:w="80"/>
                    <w:bottom w:type="dxa" w:w="50"/>
                    <w:right w:type="dxa" w:w="40"/>
                  </w:tcMar>
                </w:tcPr>
                <w:p>
                  <w:r>
                    <w:rPr>
                      <w:rFonts w:ascii="Arial" w:cs="Arial" w:eastAsia="Arial" w:hAnsi="Arial"/>
                      <w:color w:val="666666"/>
                      <w:sz w:val="17"/>
                      <w:szCs w:val="17"/>
                    </w:rPr>
                    <w:t xml:space="preserve">Mgmt Fee</w:t>
                  </w:r>
                </w:p>
              </w:tc>
              <w:tc>
                <w:tcPr>
                  <w:tcW w:type="dxa" w:w="1460"/>
                  <w:tcBorders>
                    <w:top w:val="none" w:sz="0"/>
                    <w:left w:val="none" w:sz="0"/>
                    <w:bottom w:val="single" w:color="E0E0E0" w:sz="1"/>
                    <w:right w:val="none" w:sz="0"/>
                  </w:tcBorders>
                  <w:tcMar>
                    <w:top w:type="dxa" w:w="50"/>
                    <w:left w:type="dxa" w:w="40"/>
                    <w:bottom w:type="dxa" w:w="50"/>
                    <w:right w:type="dxa" w:w="80"/>
                  </w:tcMar>
                </w:tcPr>
                <w:p>
                  <w:pPr>
                    <w:jc w:val="right"/>
                  </w:pPr>
                  <w:r>
                    <w:rPr>
                      <w:rFonts w:ascii="Arial" w:cs="Arial" w:eastAsia="Arial" w:hAnsi="Arial"/>
                      <w:b/>
                      <w:bCs/>
                      <w:color w:val="1B2A4A"/>
                      <w:sz w:val="17"/>
                      <w:szCs w:val="17"/>
                    </w:rPr>
                    <w:t xml:space="preserve">0%</w:t>
                  </w:r>
                </w:p>
              </w:tc>
            </w:tr>
            <w:tr>
              <w:tc>
                <w:tcPr>
                  <w:tcW w:type="dxa" w:w="1700"/>
                  <w:tcBorders>
                    <w:top w:val="none" w:sz="0"/>
                    <w:left w:val="none" w:sz="0"/>
                    <w:bottom w:val="single" w:color="E0E0E0" w:sz="1"/>
                    <w:right w:val="none" w:sz="0"/>
                  </w:tcBorders>
                  <w:tcMar>
                    <w:top w:type="dxa" w:w="50"/>
                    <w:left w:type="dxa" w:w="80"/>
                    <w:bottom w:type="dxa" w:w="50"/>
                    <w:right w:type="dxa" w:w="40"/>
                  </w:tcMar>
                </w:tcPr>
                <w:p>
                  <w:r>
                    <w:rPr>
                      <w:rFonts w:ascii="Arial" w:cs="Arial" w:eastAsia="Arial" w:hAnsi="Arial"/>
                      <w:color w:val="666666"/>
                      <w:sz w:val="17"/>
                      <w:szCs w:val="17"/>
                    </w:rPr>
                    <w:t xml:space="preserve">Carry</w:t>
                  </w:r>
                </w:p>
              </w:tc>
              <w:tc>
                <w:tcPr>
                  <w:tcW w:type="dxa" w:w="1460"/>
                  <w:tcBorders>
                    <w:top w:val="none" w:sz="0"/>
                    <w:left w:val="none" w:sz="0"/>
                    <w:bottom w:val="single" w:color="E0E0E0" w:sz="1"/>
                    <w:right w:val="none" w:sz="0"/>
                  </w:tcBorders>
                  <w:tcMar>
                    <w:top w:type="dxa" w:w="50"/>
                    <w:left w:type="dxa" w:w="40"/>
                    <w:bottom w:type="dxa" w:w="50"/>
                    <w:right w:type="dxa" w:w="80"/>
                  </w:tcMar>
                </w:tcPr>
                <w:p>
                  <w:pPr>
                    <w:jc w:val="right"/>
                  </w:pPr>
                  <w:r>
                    <w:rPr>
                      <w:rFonts w:ascii="Arial" w:cs="Arial" w:eastAsia="Arial" w:hAnsi="Arial"/>
                      <w:b/>
                      <w:bCs/>
                      <w:color w:val="1B2A4A"/>
                      <w:sz w:val="17"/>
                      <w:szCs w:val="17"/>
                    </w:rPr>
                    <w:t xml:space="preserve">30% above HWM</w:t>
                  </w:r>
                </w:p>
              </w:tc>
            </w:tr>
            <w:tr>
              <w:tc>
                <w:tcPr>
                  <w:tcW w:type="dxa" w:w="1700"/>
                  <w:tcBorders>
                    <w:top w:val="none" w:sz="0"/>
                    <w:left w:val="none" w:sz="0"/>
                    <w:bottom w:val="single" w:color="E0E0E0" w:sz="1"/>
                    <w:right w:val="none" w:sz="0"/>
                  </w:tcBorders>
                  <w:tcMar>
                    <w:top w:type="dxa" w:w="50"/>
                    <w:left w:type="dxa" w:w="80"/>
                    <w:bottom w:type="dxa" w:w="50"/>
                    <w:right w:type="dxa" w:w="40"/>
                  </w:tcMar>
                </w:tcPr>
                <w:p>
                  <w:r>
                    <w:rPr>
                      <w:rFonts w:ascii="Arial" w:cs="Arial" w:eastAsia="Arial" w:hAnsi="Arial"/>
                      <w:color w:val="666666"/>
                      <w:sz w:val="17"/>
                      <w:szCs w:val="17"/>
                    </w:rPr>
                    <w:t xml:space="preserve">Lock-up</w:t>
                  </w:r>
                </w:p>
              </w:tc>
              <w:tc>
                <w:tcPr>
                  <w:tcW w:type="dxa" w:w="1460"/>
                  <w:tcBorders>
                    <w:top w:val="none" w:sz="0"/>
                    <w:left w:val="none" w:sz="0"/>
                    <w:bottom w:val="single" w:color="E0E0E0" w:sz="1"/>
                    <w:right w:val="none" w:sz="0"/>
                  </w:tcBorders>
                  <w:tcMar>
                    <w:top w:type="dxa" w:w="50"/>
                    <w:left w:type="dxa" w:w="40"/>
                    <w:bottom w:type="dxa" w:w="50"/>
                    <w:right w:type="dxa" w:w="80"/>
                  </w:tcMar>
                </w:tcPr>
                <w:p>
                  <w:pPr>
                    <w:jc w:val="right"/>
                  </w:pPr>
                  <w:r>
                    <w:rPr>
                      <w:rFonts w:ascii="Arial" w:cs="Arial" w:eastAsia="Arial" w:hAnsi="Arial"/>
                      <w:b/>
                      <w:bCs/>
                      <w:color w:val="1B2A4A"/>
                      <w:sz w:val="17"/>
                      <w:szCs w:val="17"/>
                    </w:rPr>
                    <w:t xml:space="preserve">90 days</w:t>
                  </w:r>
                </w:p>
              </w:tc>
            </w:tr>
            <w:tr>
              <w:tc>
                <w:tcPr>
                  <w:tcW w:type="dxa" w:w="1700"/>
                  <w:tcBorders>
                    <w:top w:val="none" w:sz="0"/>
                    <w:left w:val="none" w:sz="0"/>
                    <w:bottom w:val="single" w:color="E0E0E0" w:sz="1"/>
                    <w:right w:val="none" w:sz="0"/>
                  </w:tcBorders>
                  <w:tcMar>
                    <w:top w:type="dxa" w:w="50"/>
                    <w:left w:type="dxa" w:w="80"/>
                    <w:bottom w:type="dxa" w:w="50"/>
                    <w:right w:type="dxa" w:w="40"/>
                  </w:tcMar>
                </w:tcPr>
                <w:p>
                  <w:r>
                    <w:rPr>
                      <w:rFonts w:ascii="Arial" w:cs="Arial" w:eastAsia="Arial" w:hAnsi="Arial"/>
                      <w:color w:val="666666"/>
                      <w:sz w:val="17"/>
                      <w:szCs w:val="17"/>
                    </w:rPr>
                    <w:t xml:space="preserve">Withdrawals</w:t>
                  </w:r>
                </w:p>
              </w:tc>
              <w:tc>
                <w:tcPr>
                  <w:tcW w:type="dxa" w:w="1460"/>
                  <w:tcBorders>
                    <w:top w:val="none" w:sz="0"/>
                    <w:left w:val="none" w:sz="0"/>
                    <w:bottom w:val="single" w:color="E0E0E0" w:sz="1"/>
                    <w:right w:val="none" w:sz="0"/>
                  </w:tcBorders>
                  <w:tcMar>
                    <w:top w:type="dxa" w:w="50"/>
                    <w:left w:type="dxa" w:w="40"/>
                    <w:bottom w:type="dxa" w:w="50"/>
                    <w:right w:type="dxa" w:w="80"/>
                  </w:tcMar>
                </w:tcPr>
                <w:p>
                  <w:pPr>
                    <w:jc w:val="right"/>
                  </w:pPr>
                  <w:r>
                    <w:rPr>
                      <w:rFonts w:ascii="Arial" w:cs="Arial" w:eastAsia="Arial" w:hAnsi="Arial"/>
                      <w:b/>
                      <w:bCs/>
                      <w:color w:val="1B2A4A"/>
                      <w:sz w:val="17"/>
                      <w:szCs w:val="17"/>
                    </w:rPr>
                    <w:t xml:space="preserve">Quarterly / 30d notice</w:t>
                  </w:r>
                </w:p>
              </w:tc>
            </w:tr>
            <w:tr>
              <w:tc>
                <w:tcPr>
                  <w:tcW w:type="dxa" w:w="1700"/>
                  <w:tcBorders>
                    <w:top w:val="none" w:sz="0"/>
                    <w:left w:val="none" w:sz="0"/>
                    <w:bottom w:val="single" w:color="E0E0E0" w:sz="1"/>
                    <w:right w:val="none" w:sz="0"/>
                  </w:tcBorders>
                  <w:tcMar>
                    <w:top w:type="dxa" w:w="50"/>
                    <w:left w:type="dxa" w:w="80"/>
                    <w:bottom w:type="dxa" w:w="50"/>
                    <w:right w:type="dxa" w:w="40"/>
                  </w:tcMar>
                </w:tcPr>
                <w:p>
                  <w:r>
                    <w:rPr>
                      <w:rFonts w:ascii="Arial" w:cs="Arial" w:eastAsia="Arial" w:hAnsi="Arial"/>
                      <w:color w:val="666666"/>
                      <w:sz w:val="17"/>
                      <w:szCs w:val="17"/>
                    </w:rPr>
                    <w:t xml:space="preserve">Co-Invest</w:t>
                  </w:r>
                </w:p>
              </w:tc>
              <w:tc>
                <w:tcPr>
                  <w:tcW w:type="dxa" w:w="1460"/>
                  <w:tcBorders>
                    <w:top w:val="none" w:sz="0"/>
                    <w:left w:val="none" w:sz="0"/>
                    <w:bottom w:val="single" w:color="E0E0E0" w:sz="1"/>
                    <w:right w:val="none" w:sz="0"/>
                  </w:tcBorders>
                  <w:tcMar>
                    <w:top w:type="dxa" w:w="50"/>
                    <w:left w:type="dxa" w:w="40"/>
                    <w:bottom w:type="dxa" w:w="50"/>
                    <w:right w:type="dxa" w:w="80"/>
                  </w:tcMar>
                </w:tcPr>
                <w:p>
                  <w:pPr>
                    <w:jc w:val="right"/>
                  </w:pPr>
                  <w:r>
                    <w:rPr>
                      <w:rFonts w:ascii="Arial" w:cs="Arial" w:eastAsia="Arial" w:hAnsi="Arial"/>
                      <w:b/>
                      <w:bCs/>
                      <w:color w:val="1B2A4A"/>
                      <w:sz w:val="17"/>
                      <w:szCs w:val="17"/>
                    </w:rPr>
                    <w:t xml:space="preserve">Yes</w:t>
                  </w:r>
                </w:p>
              </w:tc>
            </w:tr>
          </w:tbl>
          <w:p>
            <w:pPr>
              <w:spacing w:after="80"/>
            </w:pPr>
          </w:p>
          <w:p>
            <w:pPr>
              <w:pBdr>
                <w:bottom w:val="single" w:color="2E75B6" w:sz="4" w:space="4"/>
              </w:pBdr>
              <w:spacing w:after="100" w:before="200"/>
            </w:pPr>
            <w:r>
              <w:rPr>
                <w:rFonts w:ascii="Arial" w:cs="Arial" w:eastAsia="Arial" w:hAnsi="Arial"/>
                <w:b/>
                <w:bCs/>
                <w:color w:val="1B2A4A"/>
                <w:sz w:val="20"/>
                <w:szCs w:val="20"/>
              </w:rPr>
              <w:t xml:space="preserve">NEXT STEPS</w:t>
            </w:r>
          </w:p>
          <w:p>
            <w:pPr>
              <w:spacing w:after="50"/>
            </w:pPr>
            <w:r>
              <w:rPr>
                <w:rFonts w:ascii="Arial" w:cs="Arial" w:eastAsia="Arial" w:hAnsi="Arial"/>
                <w:b/>
                <w:bCs/>
                <w:color w:val="2E75B6"/>
                <w:sz w:val="18"/>
                <w:szCs w:val="18"/>
              </w:rPr>
              <w:t xml:space="preserve">1. </w:t>
            </w:r>
            <w:r>
              <w:rPr>
                <w:rFonts w:ascii="Arial" w:cs="Arial" w:eastAsia="Arial" w:hAnsi="Arial"/>
                <w:color w:val="333333"/>
                <w:sz w:val="18"/>
                <w:szCs w:val="18"/>
              </w:rPr>
              <w:t xml:space="preserve">Contact the fund manager</w:t>
            </w:r>
          </w:p>
          <w:p>
            <w:pPr>
              <w:spacing w:after="50"/>
            </w:pPr>
            <w:r>
              <w:rPr>
                <w:rFonts w:ascii="Arial" w:cs="Arial" w:eastAsia="Arial" w:hAnsi="Arial"/>
                <w:b/>
                <w:bCs/>
                <w:color w:val="2E75B6"/>
                <w:sz w:val="18"/>
                <w:szCs w:val="18"/>
              </w:rPr>
              <w:t xml:space="preserve">2. </w:t>
            </w:r>
            <w:r>
              <w:rPr>
                <w:rFonts w:ascii="Arial" w:cs="Arial" w:eastAsia="Arial" w:hAnsi="Arial"/>
                <w:color w:val="333333"/>
                <w:sz w:val="18"/>
                <w:szCs w:val="18"/>
              </w:rPr>
              <w:t xml:space="preserve">Review Private Placement Memo</w:t>
            </w:r>
          </w:p>
          <w:p>
            <w:pPr>
              <w:spacing w:after="50"/>
            </w:pPr>
            <w:r>
              <w:rPr>
                <w:rFonts w:ascii="Arial" w:cs="Arial" w:eastAsia="Arial" w:hAnsi="Arial"/>
                <w:b/>
                <w:bCs/>
                <w:color w:val="2E75B6"/>
                <w:sz w:val="18"/>
                <w:szCs w:val="18"/>
              </w:rPr>
              <w:t xml:space="preserve">3. </w:t>
            </w:r>
            <w:r>
              <w:rPr>
                <w:rFonts w:ascii="Arial" w:cs="Arial" w:eastAsia="Arial" w:hAnsi="Arial"/>
                <w:color w:val="333333"/>
                <w:sz w:val="18"/>
                <w:szCs w:val="18"/>
              </w:rPr>
              <w:t xml:space="preserve">Sign Subscription Agreement</w:t>
            </w:r>
          </w:p>
          <w:p>
            <w:pPr>
              <w:spacing w:after="50"/>
            </w:pPr>
            <w:r>
              <w:rPr>
                <w:rFonts w:ascii="Arial" w:cs="Arial" w:eastAsia="Arial" w:hAnsi="Arial"/>
                <w:b/>
                <w:bCs/>
                <w:color w:val="2E75B6"/>
                <w:sz w:val="18"/>
                <w:szCs w:val="18"/>
              </w:rPr>
              <w:t xml:space="preserve">4. </w:t>
            </w:r>
            <w:r>
              <w:rPr>
                <w:rFonts w:ascii="Arial" w:cs="Arial" w:eastAsia="Arial" w:hAnsi="Arial"/>
                <w:color w:val="333333"/>
                <w:sz w:val="18"/>
                <w:szCs w:val="18"/>
              </w:rPr>
              <w:t xml:space="preserve">Fund your capital account</w:t>
            </w:r>
          </w:p>
        </w:tc>
      </w:tr>
    </w:tbl>
    <w:p>
      <w:pPr>
        <w:pBdr>
          <w:top w:val="single" w:color="CCCCCC" w:sz="2" w:space="6"/>
        </w:pBdr>
        <w:spacing w:before="160"/>
      </w:pPr>
      <w:r>
        <w:rPr>
          <w:rFonts w:ascii="Arial" w:cs="Arial" w:eastAsia="Arial" w:hAnsi="Arial"/>
          <w:i/>
          <w:iCs/>
          <w:color w:val="999999"/>
          <w:sz w:val="13"/>
          <w:szCs w:val="13"/>
        </w:rPr>
        <w:t xml:space="preserve">IMPORTANT: All performance data is based on backtested/simulated results and does NOT represent actual trading. Past performance—simulated or actual—does not guarantee future results. Prediction market trading involves substantial risk, including possible loss of your entire investment. This is a speculative investment offered under a friends &amp; family exemption and is not a registered securities offering. Consult your attorney and financial advisor before investing. This document is confidential and for informational purposes only.</w:t>
      </w:r>
    </w:p>
    <w:sectPr>
      <w:headerReference w:type="default" r:id="rId7"/>
      <w:footerReference w:type="default" r:id="rId8"/>
      <w:pgSz w:w="12240" w:h="15840"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CONFIDENTIAL  •  March 2026  •  Contact: johnhavenbradley@gmail.com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40"/>
            <w:left w:type="dxa" w:w="200"/>
            <w:bottom w:type="dxa" w:w="100"/>
            <w:right w:type="dxa" w:w="200"/>
          </w:tcMar>
        </w:tcPr>
        <w:p>
          <w:r>
            <w:rPr>
              <w:rFonts w:ascii="Arial" w:cs="Arial" w:eastAsia="Arial" w:hAnsi="Arial"/>
              <w:b/>
              <w:bCs/>
              <w:color w:val="FFFFFF"/>
              <w:sz w:val="30"/>
              <w:szCs w:val="30"/>
            </w:rPr>
            <w:t xml:space="preserve">PREDICTIVE ALPHA FUND</w:t>
          </w:r>
        </w:p>
        <w:p>
          <w:pPr>
            <w:spacing w:before="20"/>
          </w:pPr>
          <w:r>
            <w:rPr>
              <w:rFonts w:ascii="Arial" w:cs="Arial" w:eastAsia="Arial" w:hAnsi="Arial"/>
              <w:color w:val="D4A843"/>
              <w:sz w:val="18"/>
              <w:szCs w:val="18"/>
            </w:rPr>
            <w:t xml:space="preserve">AI-Powered Prediction Market Trading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2026-03-05T20:54:20.670Z</dcterms:created>
  <dcterms:modified xsi:type="dcterms:W3CDTF">2026-03-05T20:54:20.670Z</dcterms:modified>
</cp:coreProperties>
</file>

<file path=docProps/custom.xml><?xml version="1.0" encoding="utf-8"?>
<Properties xmlns="http://schemas.openxmlformats.org/officeDocument/2006/custom-properties" xmlns:vt="http://schemas.openxmlformats.org/officeDocument/2006/docPropsVTypes"/>
</file>