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t xml:space="preserve">Predictive Alpha Fund</w:t>
      </w:r>
    </w:p>
    <w:p/>
    <w:p>
      <w:pPr>
        <w:spacing w:after="240"/>
        <w:jc w:val="center"/>
      </w:pPr>
      <w:r>
        <w:t xml:space="preserve">CONFIDENTIAL PRIVATE PLACEMENT MEMORANDUM</w:t>
      </w:r>
    </w:p>
    <w:p>
      <w:pPr>
        <w:spacing w:after="240"/>
        <w:jc w:val="center"/>
      </w:pPr>
      <w:r>
        <w:t xml:space="preserve">March 5, 2026</w:t>
      </w:r>
    </w:p>
    <w:p/>
    <w:p/>
    <w:p>
      <w:pPr>
        <w:spacing w:after="120"/>
        <w:jc w:val="center"/>
      </w:pPr>
      <w:r>
        <w:t xml:space="preserve">CONFIDENTIALITY NOTICE</w:t>
      </w:r>
    </w:p>
    <w:p>
      <w:pPr>
        <w:spacing w:after="120"/>
        <w:jc w:val="center"/>
      </w:pPr>
      <w:r>
        <w:t xml:space="preserve">This document is CONFIDENTIAL and proprietary. It is intended solely for the use of the recipient to whom it is addressed. Unauthorized distribution, publication, or disclosure of this information is strictly prohibited. By receiving this document, you agree to maintain its confidentiality and return or destroy it upon request.</w:t>
      </w:r>
    </w:p>
    <w:p/>
    <w:p/>
    <w:p>
      <w:pPr>
        <w:spacing w:after="120"/>
        <w:jc w:val="center"/>
      </w:pPr>
      <w:r>
        <w:t xml:space="preserve">This is NOT a registered offering and does not constitute an offer to sell or a solicitation to buy any securities.</w:t>
      </w:r>
    </w:p>
    <w:r>
      <w:br w:type="page"/>
    </w:r>
    <w:p>
      <w:pPr>
        <w:spacing w:after="120" w:before="120"/>
      </w:pPr>
      <w:r>
        <w:t xml:space="preserve">IMPORTANT NOTICES AND DISCLAIMERS</w:t>
      </w:r>
    </w:p>
    <w:p>
      <w:pPr>
        <w:spacing w:after="120"/>
      </w:pPr>
      <w:r>
        <w:t xml:space="preserve">This document is provided for informational purposes only and does not constitute an offer of securities or a solicitation to purchase any security. No offering or sale shall occur in any jurisdiction until such securities are registered or an exemption from registration is available.</w:t>
      </w:r>
    </w:p>
    <w:p>
      <w:pPr>
        <w:spacing w:after="120"/>
      </w:pPr>
      <w:r>
        <w:t xml:space="preserve">This fund is not registered with the SEC or any state regulatory authority. Investors should consult with a qualified attorney and financial advisor before making any investment decision.</w:t>
      </w:r>
    </w:p>
    <w:p>
      <w:pPr>
        <w:spacing w:after="120"/>
      </w:pPr>
      <w:r>
        <w:t xml:space="preserve">Forward-Looking Statements: This memorandum contains forward-looking statements regarding future performance. Actual results may differ materially. Past performance, whether simulated or backtested, does not guarantee future results.</w:t>
      </w:r>
    </w:p>
    <w:p>
      <w:pPr>
        <w:spacing w:after="120"/>
      </w:pPr>
      <w:r>
        <w:t xml:space="preserve">Backtested Results Disclaimer: The performance data presented in this memorandum is based on simulated and historical backtested results. These results are NOT indicative of actual live trading performance and may not be achievable in the future. Backtested performance is subject to look-ahead bias, survivorship bias, and other limitations that may not exist in live trading.</w:t>
      </w:r>
    </w:p>
    <w:p>
      <w:pPr>
        <w:spacing w:after="120"/>
      </w:pPr>
      <w:r>
        <w:t xml:space="preserve">Risk of Total Loss: Investors should be prepared to lose their entire investment. Prediction markets are highly speculative and volatile.</w:t>
      </w:r>
    </w:p>
    <w:p>
      <w:pPr>
        <w:spacing w:after="120"/>
      </w:pPr>
      <w:r>
        <w:t xml:space="preserve">No Guarantee: There are no guarantees or warranties, express or implied, regarding the performance of the fund or the return of capital.</w:t>
      </w:r>
    </w:p>
    <w:r>
      <w:br w:type="page"/>
    </w:r>
    <w:p>
      <w:pPr>
        <w:spacing w:after="120" w:before="120"/>
      </w:pPr>
      <w:r>
        <w:t xml:space="preserve">EXECUTIVE SUMMARY</w:t>
      </w:r>
    </w:p>
    <w:p>
      <w:pPr>
        <w:spacing w:after="80" w:before="120"/>
      </w:pPr>
      <w:r>
        <w:t xml:space="preserve">Fund Overview</w:t>
      </w:r>
    </w:p>
    <w:p>
      <w:pPr>
        <w:spacing w:after="120"/>
      </w:pPr>
      <w:r>
        <w:t xml:space="preserve">Predictive Alpha Fund is an AI-powered trading fund that identifies and exploits pricing inefficiencies in prediction markets on the Polymarket platform. The fund uses advanced machine learning models and artificial intelligence to estimate true market probabilities and execute trades when market prices diverge significantly from estimated values.</w:t>
      </w:r>
    </w:p>
    <w:p>
      <w:pPr>
        <w:spacing w:after="80" w:before="120"/>
      </w:pPr>
      <w:r>
        <w:t xml:space="preserve">Investment Opportunity</w:t>
      </w:r>
    </w:p>
    <w:p>
      <w:pPr>
        <w:spacing w:after="120"/>
      </w:pPr>
      <w:r>
        <w:t xml:space="preserve">Prediction markets represent a nascent but rapidly growing asset class. These markets have demonstrated significant pricing inefficiencies due to limited liquidity and retail-dominated participant bases. Our proprietary AI system is specifically designed to identify and capitalize on these mispricings.</w:t>
      </w:r>
    </w:p>
    <w:p>
      <w:pPr>
        <w:spacing w:after="80" w:before="120"/>
      </w:pPr>
      <w:r>
        <w:t xml:space="preserve">Key Metrics</w:t>
      </w:r>
    </w:p>
    <w:p>
      <w:pPr>
        <w:spacing w:after="80"/>
      </w:pPr>
      <w:r>
        <w:t xml:space="preserve">• Backtested across 532 resolved prediction markets</w:t>
      </w:r>
    </w:p>
    <w:p>
      <w:pPr>
        <w:spacing w:after="80"/>
      </w:pPr>
      <w:r>
        <w:t xml:space="preserve">• Win rate: 64.9% (significantly above 50% random baseline)</w:t>
      </w:r>
    </w:p>
    <w:p>
      <w:pPr>
        <w:spacing w:after="80"/>
      </w:pPr>
      <w:r>
        <w:t xml:space="preserve">• Average profit per $2 trade: +$0.60 (30% return per trade)</w:t>
      </w:r>
    </w:p>
    <w:p>
      <w:pPr>
        <w:spacing w:after="80"/>
      </w:pPr>
      <w:r>
        <w:t xml:space="preserve">• Conservative estimate: +128% annualized return</w:t>
      </w:r>
    </w:p>
    <w:p>
      <w:pPr>
        <w:spacing w:after="120"/>
      </w:pPr>
      <w:r>
        <w:t xml:space="preserve">• Aggressive estimate: +469% annualized return</w:t>
      </w:r>
    </w:p>
    <w:p>
      <w:pPr>
        <w:spacing w:after="80" w:before="120"/>
      </w:pPr>
      <w:r>
        <w:t xml:space="preserve">Investment Terms</w:t>
      </w:r>
    </w:p>
    <w:p>
      <w:pPr>
        <w:spacing w:after="80"/>
      </w:pPr>
      <w:r>
        <w:t xml:space="preserve">• Minimum investment: $10,000</w:t>
      </w:r>
    </w:p>
    <w:p>
      <w:pPr>
        <w:spacing w:after="80"/>
      </w:pPr>
      <w:r>
        <w:t xml:space="preserve">• Maximum investment: $100,000 (per investor)</w:t>
      </w:r>
    </w:p>
    <w:p>
      <w:pPr>
        <w:spacing w:after="80"/>
      </w:pPr>
      <w:r>
        <w:t xml:space="preserve">• Profit split: 70% to investors, 30% to manager</w:t>
      </w:r>
    </w:p>
    <w:p>
      <w:pPr>
        <w:spacing w:after="80"/>
      </w:pPr>
      <w:r>
        <w:t xml:space="preserve">• Management fee: 0% (waived)</w:t>
      </w:r>
    </w:p>
    <w:p>
      <w:pPr>
        <w:spacing w:after="80"/>
      </w:pPr>
      <w:r>
        <w:t xml:space="preserve">• Lock-up period: 90 days</w:t>
      </w:r>
    </w:p>
    <w:p>
      <w:pPr>
        <w:spacing w:after="120"/>
      </w:pPr>
      <w:r>
        <w:t xml:space="preserve">• Quarterly withdrawals with 30-day notice</w:t>
      </w:r>
    </w:p>
    <w:r>
      <w:br w:type="page"/>
    </w:r>
    <w:p>
      <w:pPr>
        <w:spacing w:after="120" w:before="120"/>
      </w:pPr>
      <w:r>
        <w:t xml:space="preserve">STRATEGY OVERVIEW</w:t>
      </w:r>
    </w:p>
    <w:p>
      <w:pPr>
        <w:spacing w:after="80" w:before="120"/>
      </w:pPr>
      <w:r>
        <w:t xml:space="preserve">What Are Prediction Markets?</w:t>
      </w:r>
    </w:p>
    <w:p>
      <w:pPr>
        <w:spacing w:after="120"/>
      </w:pPr>
      <w:r>
        <w:t xml:space="preserve">Prediction markets are financial markets where participants trade contracts whose value depends on the outcome of real-world events. For example, a participant might buy a contract that pays $1 if "Biden will win the 2024 election" or $0 if he does not. The market price of such a contract reflects the aggregate probability that the event will occur. Polymarket is one of the largest platforms offering these trading opportunities.</w:t>
      </w:r>
    </w:p>
    <w:p>
      <w:pPr>
        <w:spacing w:after="80" w:before="120"/>
      </w:pPr>
      <w:r>
        <w:t xml:space="preserve">How Our AI System Works</w:t>
      </w:r>
    </w:p>
    <w:p>
      <w:pPr>
        <w:spacing w:after="120"/>
      </w:pPr>
      <w:r>
        <w:t xml:space="preserve">Our proprietary trading system operates on a simple principle: find markets where the current trading price significantly differs from the true probability of the outcome.</w:t>
      </w:r>
    </w:p>
    <w:p>
      <w:pPr>
        <w:spacing w:after="80"/>
      </w:pPr>
      <w:r>
        <w:t xml:space="preserve">The system works as follows:</w:t>
      </w:r>
    </w:p>
    <w:p>
      <w:pPr>
        <w:spacing w:after="80"/>
      </w:pPr>
      <w:r>
        <w:t xml:space="preserve">1. Market Scanning: A bot runs 24/7 on a remote server and scans the Polymarket platform every 5 minutes, identifying all active prediction markets and their current prices.</w:t>
      </w:r>
    </w:p>
    <w:p>
      <w:pPr>
        <w:spacing w:after="80"/>
      </w:pPr>
      <w:r>
        <w:t xml:space="preserve">2. Probability Estimation: For each market, the system uses Claude AI and a suite of ensemble machine learning models trained on historical prediction market data to estimate the true probability of each outcome. These models analyze available information, historical betting patterns, and other signals.</w:t>
      </w:r>
    </w:p>
    <w:p>
      <w:pPr>
        <w:spacing w:after="80"/>
      </w:pPr>
      <w:r>
        <w:t xml:space="preserve">3. Edge Detection: The system compares our estimated true probability to the market price. When our estimate diverges significantly from the market price (exceeding our edge threshold), an opportunity is identified.</w:t>
      </w:r>
    </w:p>
    <w:p>
      <w:pPr>
        <w:spacing w:after="120"/>
      </w:pPr>
      <w:r>
        <w:t xml:space="preserve">4. Trade Execution: If the edge is sufficiently large and risk management criteria are met, the system automatically executes a trade on Polymarket.</w:t>
      </w:r>
    </w:p>
    <w:p>
      <w:pPr>
        <w:spacing w:after="80" w:before="120"/>
      </w:pPr>
      <w:r>
        <w:t xml:space="preserve">Trade Lifecycle Example</w:t>
      </w:r>
    </w:p>
    <w:p>
      <w:pPr>
        <w:spacing w:after="120"/>
      </w:pPr>
      <w:r>
        <w:t xml:space="preserve">Example: A market predicts "Will crypto regulation be announced in Q1 2026?" Currently trading at 35 cents (35% probability). Our models analyze recent regulatory signals, legislative activity, and historical patterns, estimating the true probability at 55%. The 20-point edge exceeds our threshold. The system buys $1000 of contracts at 35 cents each. If the outcome resolves "Yes," our contracts pay $1 each, yielding a $650 profit ($1000 purchase becomes $1550 in value when price moves toward true probability, or $1000 profit if we held until 100% payout). The position is held until resolution or closed at a profitable price.</w:t>
      </w:r>
    </w:p>
    <w:p>
      <w:pPr>
        <w:spacing w:after="80" w:before="120"/>
      </w:pPr>
      <w:r>
        <w:t xml:space="preserve">Portfolio Management</w:t>
      </w:r>
    </w:p>
    <w:p>
      <w:pPr>
        <w:spacing w:after="120"/>
      </w:pPr>
      <w:r>
        <w:t xml:space="preserve">The fund maintains a diversified portfolio across many prediction markets (typically 20-50 concurrent positions) to reduce idiosyncratic risk. Position sizing is carefully calibrated based on edge magnitude and volatility. No single position exceeds 5% of fund capital, ensuring that the failure of any individual market does not significantly impact overall returns.</w:t>
      </w:r>
    </w:p>
    <w:r>
      <w:br w:type="page"/>
    </w:r>
    <w:p>
      <w:pPr>
        <w:spacing w:after="80" w:before="120"/>
      </w:pPr>
      <w:r>
        <w:t xml:space="preserve">PERFORMANCE DATA</w:t>
      </w:r>
    </w:p>
    <w:p>
      <w:pPr>
        <w:spacing w:after="120"/>
      </w:pPr>
      <w:r>
        <w:t xml:space="preserve">SIMULATED/BACKTESTED PERFORMANCE — NOT INDICATIVE OF FUTURE RESULTS</w:t>
      </w:r>
    </w:p>
    <w:p>
      <w:pPr>
        <w:spacing w:after="120"/>
      </w:pPr>
      <w:r>
        <w:t xml:space="preserve">The following performance metrics are based on backtested analysis of historical prediction market data. These results represent what the trading strategy would have achieved if applied to past data, not actual live trading performance. Live performance may differ materially due to various factors discussed below.</w:t>
      </w:r>
    </w:p>
    <w:p>
      <w:pPr>
        <w:spacing w:after="80" w:before="120"/>
      </w:pPr>
      <w:r>
        <w:t xml:space="preserve">Key Performance Metrics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7E6E6"/>
            <w:tcMar>
              <w:top w:type="dxa" w:w="60"/>
              <w:left w:type="dxa" w:w="60"/>
              <w:bottom w:type="dxa" w:w="60"/>
              <w:right w:type="dxa" w:w="60"/>
            </w:tcMar>
          </w:tcPr>
          <w:p>
            <w:r>
              <w:t xml:space="preserve">Metric</w:t>
            </w:r>
          </w:p>
        </w:tc>
        <w:tc>
          <w:tcPr>
            <w:shd w:fill="E7E6E6"/>
            <w:tcMar>
              <w:top w:type="dxa" w:w="60"/>
              <w:left w:type="dxa" w:w="60"/>
              <w:bottom w:type="dxa" w:w="60"/>
              <w:right w:type="dxa" w:w="60"/>
            </w:tcMar>
          </w:tcPr>
          <w:p>
            <w:r>
              <w:t xml:space="preserve">Value</w:t>
            </w:r>
          </w:p>
        </w:tc>
      </w:tr>
      <w:tr>
        <w:tc>
          <w:tcPr>
            <w:tcMar>
              <w:top w:type="dxa" w:w="60"/>
              <w:left w:type="dxa" w:w="60"/>
              <w:bottom w:type="dxa" w:w="60"/>
              <w:right w:type="dxa" w:w="60"/>
            </w:tcMar>
          </w:tcPr>
          <w:p>
            <w:r>
              <w:t xml:space="preserve">Markets Analyzed</w:t>
            </w:r>
          </w:p>
        </w:tc>
        <w:tc>
          <w:tcPr>
            <w:tcMar>
              <w:top w:type="dxa" w:w="60"/>
              <w:left w:type="dxa" w:w="60"/>
              <w:bottom w:type="dxa" w:w="60"/>
              <w:right w:type="dxa" w:w="60"/>
            </w:tcMar>
          </w:tcPr>
          <w:p>
            <w:r>
              <w:t xml:space="preserve">532 resolved markets</w:t>
            </w:r>
          </w:p>
        </w:tc>
      </w:tr>
      <w:tr>
        <w:tc>
          <w:tcPr>
            <w:tcMar>
              <w:top w:type="dxa" w:w="60"/>
              <w:left w:type="dxa" w:w="60"/>
              <w:bottom w:type="dxa" w:w="60"/>
              <w:right w:type="dxa" w:w="60"/>
            </w:tcMar>
          </w:tcPr>
          <w:p>
            <w:r>
              <w:t xml:space="preserve">Win Rate</w:t>
            </w:r>
          </w:p>
        </w:tc>
        <w:tc>
          <w:tcPr>
            <w:tcMar>
              <w:top w:type="dxa" w:w="60"/>
              <w:left w:type="dxa" w:w="60"/>
              <w:bottom w:type="dxa" w:w="60"/>
              <w:right w:type="dxa" w:w="60"/>
            </w:tcMar>
          </w:tcPr>
          <w:p>
            <w:r>
              <w:t xml:space="preserve">64.9% (vs 50% random)</w:t>
            </w:r>
          </w:p>
        </w:tc>
      </w:tr>
      <w:tr>
        <w:tc>
          <w:tcPr>
            <w:tcMar>
              <w:top w:type="dxa" w:w="60"/>
              <w:left w:type="dxa" w:w="60"/>
              <w:bottom w:type="dxa" w:w="60"/>
              <w:right w:type="dxa" w:w="60"/>
            </w:tcMar>
          </w:tcPr>
          <w:p>
            <w:r>
              <w:t xml:space="preserve">Avg Profit Per Trade</w:t>
            </w:r>
          </w:p>
        </w:tc>
        <w:tc>
          <w:tcPr>
            <w:tcMar>
              <w:top w:type="dxa" w:w="60"/>
              <w:left w:type="dxa" w:w="60"/>
              <w:bottom w:type="dxa" w:w="60"/>
              <w:right w:type="dxa" w:w="60"/>
            </w:tcMar>
          </w:tcPr>
          <w:p>
            <w:r>
              <w:t xml:space="preserve">+$0.60 per $2 trade (30%)</w:t>
            </w:r>
          </w:p>
        </w:tc>
      </w:tr>
      <w:tr>
        <w:tc>
          <w:tcPr>
            <w:tcMar>
              <w:top w:type="dxa" w:w="60"/>
              <w:left w:type="dxa" w:w="60"/>
              <w:bottom w:type="dxa" w:w="60"/>
              <w:right w:type="dxa" w:w="60"/>
            </w:tcMar>
          </w:tcPr>
          <w:p>
            <w:r>
              <w:t xml:space="preserve">Conservative Estimate</w:t>
            </w:r>
          </w:p>
        </w:tc>
        <w:tc>
          <w:tcPr>
            <w:tcMar>
              <w:top w:type="dxa" w:w="60"/>
              <w:left w:type="dxa" w:w="60"/>
              <w:bottom w:type="dxa" w:w="60"/>
              <w:right w:type="dxa" w:w="60"/>
            </w:tcMar>
          </w:tcPr>
          <w:p>
            <w:r>
              <w:t xml:space="preserve">+128% annualized return</w:t>
            </w:r>
          </w:p>
        </w:tc>
      </w:tr>
      <w:tr>
        <w:tc>
          <w:tcPr>
            <w:tcMar>
              <w:top w:type="dxa" w:w="60"/>
              <w:left w:type="dxa" w:w="60"/>
              <w:bottom w:type="dxa" w:w="60"/>
              <w:right w:type="dxa" w:w="60"/>
            </w:tcMar>
          </w:tcPr>
          <w:p>
            <w:r>
              <w:t xml:space="preserve">Aggressive Estimate</w:t>
            </w:r>
          </w:p>
        </w:tc>
        <w:tc>
          <w:tcPr>
            <w:tcMar>
              <w:top w:type="dxa" w:w="60"/>
              <w:left w:type="dxa" w:w="60"/>
              <w:bottom w:type="dxa" w:w="60"/>
              <w:right w:type="dxa" w:w="60"/>
            </w:tcMar>
          </w:tcPr>
          <w:p>
            <w:r>
              <w:t xml:space="preserve">+469% annualized return</w:t>
            </w:r>
          </w:p>
        </w:tc>
      </w:tr>
    </w:tbl>
    <w:p>
      <w:pPr>
        <w:spacing w:after="80" w:before="120"/>
      </w:pPr>
      <w:r>
        <w:t xml:space="preserve">Important Limitations of Backtested Data</w:t>
      </w:r>
    </w:p>
    <w:p>
      <w:pPr>
        <w:spacing w:after="80"/>
      </w:pPr>
      <w:r>
        <w:t xml:space="preserve">Investors must understand the significant limitations of backtested performance data:</w:t>
      </w:r>
    </w:p>
    <w:p>
      <w:pPr>
        <w:spacing w:after="80"/>
      </w:pPr>
      <w:r>
        <w:t xml:space="preserve">• Look-Ahead Bias: The backtest may have inadvertently used information that would not have been available at the time of trading.</w:t>
      </w:r>
    </w:p>
    <w:p>
      <w:pPr>
        <w:spacing w:after="80"/>
      </w:pPr>
      <w:r>
        <w:t xml:space="preserve">• Survivorship Bias: Only successful markets are included; failed or delisted markets are not represented.</w:t>
      </w:r>
    </w:p>
    <w:p>
      <w:pPr>
        <w:spacing w:after="80"/>
      </w:pPr>
      <w:r>
        <w:t xml:space="preserve">• Execution Risk: Backtests assume perfect execution at projected prices; actual trading may face slippage and liquidity constraints.</w:t>
      </w:r>
    </w:p>
    <w:p>
      <w:pPr>
        <w:spacing w:after="80"/>
      </w:pPr>
      <w:r>
        <w:t xml:space="preserve">• Liquidity Assumptions: Backtests assume sufficient liquidity; actual market conditions may prevent execution of projected trades.</w:t>
      </w:r>
    </w:p>
    <w:p>
      <w:pPr>
        <w:spacing w:after="120"/>
      </w:pPr>
      <w:r>
        <w:t xml:space="preserve">• Model Degradation: Historical relationships may not persist in future market conditions.</w:t>
      </w:r>
    </w:p>
    <w:r>
      <w:br w:type="page"/>
    </w:r>
    <w:p>
      <w:pPr>
        <w:spacing w:after="120" w:before="120"/>
      </w:pPr>
      <w:r>
        <w:t xml:space="preserve">RISK FACTORS</w:t>
      </w:r>
    </w:p>
    <w:p>
      <w:pPr>
        <w:spacing w:after="120"/>
      </w:pPr>
      <w:r>
        <w:t xml:space="preserve">An investment in Predictive Alpha Fund involves substantial risk. Investors should carefully consider the following risk factors before investing.</w:t>
      </w:r>
    </w:p>
    <w:p>
      <w:pPr>
        <w:spacing w:after="80" w:before="100"/>
      </w:pPr>
      <w:r>
        <w:t xml:space="preserve">Total Loss Risk</w:t>
      </w:r>
    </w:p>
    <w:p>
      <w:pPr>
        <w:spacing w:after="120"/>
      </w:pPr>
      <w:r>
        <w:t xml:space="preserve">Investors may lose their entire investment. There is no guarantee of capital preservation or return.</w:t>
      </w:r>
    </w:p>
    <w:p>
      <w:pPr>
        <w:spacing w:after="80" w:before="100"/>
      </w:pPr>
      <w:r>
        <w:t xml:space="preserve">Market Risk</w:t>
      </w:r>
    </w:p>
    <w:p>
      <w:pPr>
        <w:spacing w:after="120"/>
      </w:pPr>
      <w:r>
        <w:t xml:space="preserve">Prediction markets are inherently uncertain. Market prices can move unpredictably, and our probability estimates may be incorrect. Even markets we believe are mispriced can move against us before resolution.</w:t>
      </w:r>
    </w:p>
    <w:p>
      <w:pPr>
        <w:spacing w:after="80" w:before="100"/>
      </w:pPr>
      <w:r>
        <w:t xml:space="preserve">AI and Model Risk</w:t>
      </w:r>
    </w:p>
    <w:p>
      <w:pPr>
        <w:spacing w:after="120"/>
      </w:pPr>
      <w:r>
        <w:t xml:space="preserve">Our trading models and AI systems may produce inaccurate probability estimates. Machine learning models can degrade over time as market conditions change. There is no guarantee that the patterns identified in backtested data will continue to exist in live trading.</w:t>
      </w:r>
    </w:p>
    <w:p>
      <w:pPr>
        <w:spacing w:after="80" w:before="100"/>
      </w:pPr>
      <w:r>
        <w:t xml:space="preserve">Polymarket Platform Risk</w:t>
      </w:r>
    </w:p>
    <w:p>
      <w:pPr>
        <w:spacing w:after="120"/>
      </w:pPr>
      <w:r>
        <w:t xml:space="preserve">Polymarket could change trading rules, experience technical outages, face regulatory action, or cease operations entirely. Any of these events would materially impact the fund's ability to trade.</w:t>
      </w:r>
    </w:p>
    <w:p>
      <w:pPr>
        <w:spacing w:after="80" w:before="100"/>
      </w:pPr>
      <w:r>
        <w:t xml:space="preserve">Regulatory Risk</w:t>
      </w:r>
    </w:p>
    <w:p>
      <w:pPr>
        <w:spacing w:after="120"/>
      </w:pPr>
      <w:r>
        <w:t xml:space="preserve">The regulatory environment for prediction markets is evolving and uncertain. Governments may restrict or ban prediction market trading, impose taxes, or impose other restrictions that would harm fund performance.</w:t>
      </w:r>
    </w:p>
    <w:p>
      <w:pPr>
        <w:spacing w:after="80" w:before="100"/>
      </w:pPr>
      <w:r>
        <w:t xml:space="preserve">Cryptocurrency and Blockchain Risk</w:t>
      </w:r>
    </w:p>
    <w:p>
      <w:pPr>
        <w:spacing w:after="120"/>
      </w:pPr>
      <w:r>
        <w:t xml:space="preserve">Polymarket trades in USDC (USD Coin) on the Polygon blockchain. Blockchain networks can experience technical failures, security breaches, or regulatory challenges. USDC may not maintain its $1.00 peg.</w:t>
      </w:r>
    </w:p>
    <w:p>
      <w:pPr>
        <w:spacing w:after="80" w:before="100"/>
      </w:pPr>
      <w:r>
        <w:t xml:space="preserve">Liquidity Risk</w:t>
      </w:r>
    </w:p>
    <w:p>
      <w:pPr>
        <w:spacing w:after="120"/>
      </w:pPr>
      <w:r>
        <w:t xml:space="preserve">Prediction markets can have insufficient liquidity. The fund may be unable to exit positions at desired prices or may be unable to execute trades when opportunities are identified.</w:t>
      </w:r>
    </w:p>
    <w:p>
      <w:pPr>
        <w:spacing w:after="80" w:before="100"/>
      </w:pPr>
      <w:r>
        <w:t xml:space="preserve">Concentration Risk</w:t>
      </w:r>
    </w:p>
    <w:p>
      <w:pPr>
        <w:spacing w:after="120"/>
      </w:pPr>
      <w:r>
        <w:t xml:space="preserve">The universe of tradeable prediction markets is limited. The fund may be unable to achieve true diversification and may become concentrated in a small number of categories or outcomes.</w:t>
      </w:r>
    </w:p>
    <w:p>
      <w:pPr>
        <w:spacing w:after="80" w:before="100"/>
      </w:pPr>
      <w:r>
        <w:t xml:space="preserve">Operator Risk</w:t>
      </w:r>
    </w:p>
    <w:p>
      <w:pPr>
        <w:spacing w:after="120"/>
      </w:pPr>
      <w:r>
        <w:t xml:space="preserve">The fund is managed by a single individual. There is no redundancy in management or operational oversight. Key person risk is significant.</w:t>
      </w:r>
    </w:p>
    <w:p>
      <w:pPr>
        <w:spacing w:after="80" w:before="100"/>
      </w:pPr>
      <w:r>
        <w:t xml:space="preserve">Technology Risk</w:t>
      </w:r>
    </w:p>
    <w:p>
      <w:pPr>
        <w:spacing w:after="120"/>
      </w:pPr>
      <w:r>
        <w:t xml:space="preserve">The trading system runs on a remote server. Technical failures, server outages, API changes, software bugs, or cyberattacks could result in trading interruptions or loss of funds.</w:t>
      </w:r>
    </w:p>
    <w:p>
      <w:pPr>
        <w:spacing w:after="80" w:before="100"/>
      </w:pPr>
      <w:r>
        <w:t xml:space="preserve">No Track Record Risk</w:t>
      </w:r>
    </w:p>
    <w:p>
      <w:pPr>
        <w:spacing w:after="120"/>
      </w:pPr>
      <w:r>
        <w:t xml:space="preserve">The fund has no history of live trading. All performance data is simulated or backtested. Live trading results will likely differ materially from historical analysis.</w:t>
      </w:r>
    </w:p>
    <w:r>
      <w:br w:type="page"/>
    </w:r>
    <w:p>
      <w:pPr>
        <w:spacing w:after="120" w:before="120"/>
      </w:pPr>
      <w:r>
        <w:t xml:space="preserve">FEE STRUCTURE</w:t>
      </w:r>
    </w:p>
    <w:p>
      <w:pPr>
        <w:spacing w:after="80" w:before="100"/>
      </w:pPr>
      <w:r>
        <w:t xml:space="preserve">Management Fee: 0% (Waived)</w:t>
      </w:r>
    </w:p>
    <w:p>
      <w:pPr>
        <w:spacing w:after="120"/>
      </w:pPr>
      <w:r>
        <w:t xml:space="preserve">The manager does not charge a management fee. All operational costs are covered from performance fees.</w:t>
      </w:r>
    </w:p>
    <w:p>
      <w:pPr>
        <w:spacing w:after="80" w:before="100"/>
      </w:pPr>
      <w:r>
        <w:t xml:space="preserve">Performance Fee: 30% of Net Profits</w:t>
      </w:r>
    </w:p>
    <w:p>
      <w:pPr>
        <w:spacing w:after="120"/>
      </w:pPr>
      <w:r>
        <w:t xml:space="preserve">The manager receives 30% of net profits (with investors receiving 70%). Profits are calculated above the high-water mark, meaning the manager only receives performance fees on profits above the historical peak value of the fund. Fees are calculated quarterly.</w:t>
      </w:r>
    </w:p>
    <w:p>
      <w:pPr>
        <w:spacing w:after="80" w:before="100"/>
      </w:pPr>
      <w:r>
        <w:t xml:space="preserve">Fee Calculation Example</w:t>
      </w:r>
    </w:p>
    <w:p>
      <w:pPr>
        <w:spacing w:after="80"/>
      </w:pPr>
      <w:r>
        <w:t xml:space="preserve">An investor invests $10,000. Over the first quarter, the fund grows to $15,000 (a 50% return). Net profit = $5,000.</w:t>
      </w:r>
    </w:p>
    <w:p>
      <w:pPr>
        <w:spacing w:after="80"/>
      </w:pPr>
      <w:r>
        <w:t xml:space="preserve">Manager performance fee: 30% × $5,000 = $1,500</w:t>
      </w:r>
    </w:p>
    <w:p>
      <w:pPr>
        <w:spacing w:after="80"/>
      </w:pPr>
      <w:r>
        <w:t xml:space="preserve">Investor profit: 70% × $5,000 = $3,500</w:t>
      </w:r>
    </w:p>
    <w:p>
      <w:pPr>
        <w:spacing w:after="120"/>
      </w:pPr>
      <w:r>
        <w:t xml:space="preserve">Investor ending balance: $10,000 + $3,500 = $13,500</w:t>
      </w:r>
    </w:p>
    <w:p>
      <w:pPr>
        <w:spacing w:after="80" w:before="100"/>
      </w:pPr>
      <w:r>
        <w:t xml:space="preserve">Incentive Alignment</w:t>
      </w:r>
    </w:p>
    <w:p>
      <w:pPr>
        <w:spacing w:after="120"/>
      </w:pPr>
      <w:r>
        <w:t xml:space="preserve">The manager's personal capital of $75 is invested alongside investor capital. The manager benefits directly from fund performance and has significant financial incentive to maximize returns.</w:t>
      </w:r>
    </w:p>
    <w:r>
      <w:br w:type="page"/>
    </w:r>
    <w:p>
      <w:pPr>
        <w:spacing w:after="120" w:before="120"/>
      </w:pPr>
      <w:r>
        <w:t xml:space="preserve">MANAGER BACKGROUND</w:t>
      </w:r>
    </w:p>
    <w:p>
      <w:pPr>
        <w:spacing w:after="120"/>
      </w:pPr>
      <w:r>
        <w:t xml:space="preserve">[MANAGER NAME] is the sole operator and manager of Predictive Alpha Fund. [Insert background, relevant experience, education, and qualifications.]</w:t>
      </w:r>
    </w:p>
    <w:p>
      <w:pPr>
        <w:spacing w:after="80" w:before="100"/>
      </w:pPr>
      <w:r>
        <w:t xml:space="preserve">Personal Capital Investment</w:t>
      </w:r>
    </w:p>
    <w:p>
      <w:pPr>
        <w:spacing w:after="120"/>
      </w:pPr>
      <w:r>
        <w:t xml:space="preserve">The manager is investing $75 of personal capital alongside investors. This demonstrates the manager's confidence in the strategy and aligns incentives between the manager and investors.</w:t>
      </w:r>
    </w:p>
    <w:r>
      <w:br w:type="page"/>
    </w:r>
    <w:p>
      <w:pPr>
        <w:spacing w:after="120" w:before="120"/>
      </w:pPr>
      <w:r>
        <w:t xml:space="preserve">HOW TO INVEST</w:t>
      </w:r>
    </w:p>
    <w:p>
      <w:pPr>
        <w:spacing w:after="80" w:before="100"/>
      </w:pPr>
      <w:r>
        <w:t xml:space="preserve">Investment Parameters</w:t>
      </w:r>
    </w:p>
    <w:p>
      <w:pPr>
        <w:spacing w:after="80"/>
      </w:pPr>
      <w:r>
        <w:t xml:space="preserve">• Minimum investment: $10,000</w:t>
      </w:r>
    </w:p>
    <w:p>
      <w:pPr>
        <w:spacing w:after="80"/>
      </w:pPr>
      <w:r>
        <w:t xml:space="preserve">• Maximum investment: $100,000 per investor</w:t>
      </w:r>
    </w:p>
    <w:p>
      <w:pPr>
        <w:spacing w:after="120"/>
      </w:pPr>
      <w:r>
        <w:t xml:space="preserve">• Trading begins: ~March 10, 2026</w:t>
      </w:r>
    </w:p>
    <w:p>
      <w:pPr>
        <w:spacing w:after="80" w:before="100"/>
      </w:pPr>
      <w:r>
        <w:t xml:space="preserve">Investment Process</w:t>
      </w:r>
    </w:p>
    <w:p>
      <w:pPr>
        <w:spacing w:after="80"/>
      </w:pPr>
      <w:r>
        <w:t xml:space="preserve">1. Contact the manager to express interest</w:t>
      </w:r>
    </w:p>
    <w:p>
      <w:pPr>
        <w:spacing w:after="80"/>
      </w:pPr>
      <w:r>
        <w:t xml:space="preserve">2. Review and sign this Private Placement Memorandum and the Subscription Agreement</w:t>
      </w:r>
    </w:p>
    <w:p>
      <w:pPr>
        <w:spacing w:after="80"/>
      </w:pPr>
      <w:r>
        <w:t xml:space="preserve">3. Wire funds to the designated account [INSERT ACCOUNT DETAILS]</w:t>
      </w:r>
    </w:p>
    <w:p>
      <w:pPr>
        <w:spacing w:after="120"/>
      </w:pPr>
      <w:r>
        <w:t xml:space="preserve">4. Receive confirmation and begin participation in fund</w:t>
      </w:r>
    </w:p>
    <w:p>
      <w:pPr>
        <w:spacing w:after="80" w:before="100"/>
      </w:pPr>
      <w:r>
        <w:t xml:space="preserve">Contact Information</w:t>
      </w:r>
    </w:p>
    <w:p>
      <w:pPr>
        <w:spacing w:after="80"/>
      </w:pPr>
      <w:r>
        <w:t xml:space="preserve">[MANAGER NAME]</w:t>
      </w:r>
    </w:p>
    <w:p>
      <w:pPr>
        <w:spacing w:after="80"/>
      </w:pPr>
      <w:r>
        <w:t xml:space="preserve">[EMAIL ADDRESS]</w:t>
      </w:r>
    </w:p>
    <w:p>
      <w:pPr>
        <w:spacing w:after="120"/>
      </w:pPr>
      <w:r>
        <w:t xml:space="preserve">[PHONE NUMBER]</w:t>
      </w:r>
    </w:p>
    <w:p>
      <w:pPr>
        <w:spacing w:after="80" w:before="100"/>
      </w:pPr>
      <w:r>
        <w:t xml:space="preserve">Required Documents</w:t>
      </w:r>
    </w:p>
    <w:p>
      <w:pPr>
        <w:spacing w:after="80"/>
      </w:pPr>
      <w:r>
        <w:t xml:space="preserve">• Signed copy of this Private Placement Memorandum</w:t>
      </w:r>
    </w:p>
    <w:p>
      <w:pPr>
        <w:spacing w:after="80"/>
      </w:pPr>
      <w:r>
        <w:t xml:space="preserve">• Completed and signed Subscription Agreement</w:t>
      </w:r>
    </w:p>
    <w:p>
      <w:pPr>
        <w:spacing w:after="120"/>
      </w:pPr>
      <w:r>
        <w:t xml:space="preserve">• Accredited investor questionnaire or certification</w:t>
      </w:r>
    </w:p>
    <w:r>
      <w:br w:type="page"/>
    </w:r>
    <w:p>
      <w:pPr>
        <w:spacing w:after="120" w:before="120"/>
      </w:pPr>
      <w:r>
        <w:t xml:space="preserve">LEGAL DISCLOSURES</w:t>
      </w:r>
    </w:p>
    <w:p>
      <w:pPr>
        <w:spacing w:after="80" w:before="100"/>
      </w:pPr>
      <w:r>
        <w:t xml:space="preserve">Not a Registered Offering</w:t>
      </w:r>
    </w:p>
    <w:p>
      <w:pPr>
        <w:spacing w:after="120"/>
      </w:pPr>
      <w:r>
        <w:t xml:space="preserve">Predictive Alpha Fund is not registered with the Securities and Exchange Commission (SEC) or any state securities regulator. The securities offered herein have not been registered under the Securities Act of 1933 and are offered pursuant to exemptions from registration.</w:t>
      </w:r>
    </w:p>
    <w:p>
      <w:pPr>
        <w:spacing w:after="80" w:before="100"/>
      </w:pPr>
      <w:r>
        <w:t xml:space="preserve">Exemption from Registration</w:t>
      </w:r>
    </w:p>
    <w:p>
      <w:pPr>
        <w:spacing w:after="120"/>
      </w:pPr>
      <w:r>
        <w:t xml:space="preserve">This offering is made pursuant to Regulation D, Rule 506(b) under the Securities Act of 1933, as a private offering to accredited investors and friends and family of the manager. Only accredited investors are eligible to invest. An "accredited investor" is generally someone with annual income exceeding $200,000 (or $300,000 with spouse) or net worth exceeding $1,000,000 (excluding home equity).</w:t>
      </w:r>
    </w:p>
    <w:p>
      <w:pPr>
        <w:spacing w:after="80" w:before="100"/>
      </w:pPr>
      <w:r>
        <w:t xml:space="preserve">No Guarantees</w:t>
      </w:r>
    </w:p>
    <w:p>
      <w:pPr>
        <w:spacing w:after="120"/>
      </w:pPr>
      <w:r>
        <w:t xml:space="preserve">There are no guarantees, warranties, or promises regarding the performance of the fund, the return of capital, or any specific investment results. Past performance is not indicative of future results.</w:t>
      </w:r>
    </w:p>
    <w:p>
      <w:pPr>
        <w:spacing w:after="80" w:before="100"/>
      </w:pPr>
      <w:r>
        <w:t xml:space="preserve">Legal Review Recommended</w:t>
      </w:r>
    </w:p>
    <w:p>
      <w:pPr>
        <w:spacing w:after="120"/>
      </w:pPr>
      <w:r>
        <w:t xml:space="preserve">Prospective investors are strongly urged to consult with their own attorney and financial advisor before making an investment decision. This document is not legal or financial advice.</w:t>
      </w:r>
    </w:p>
    <w:p>
      <w:pPr>
        <w:spacing w:after="80" w:before="100"/>
      </w:pPr>
      <w:r>
        <w:t xml:space="preserve">Confidentiality</w:t>
      </w:r>
    </w:p>
    <w:p>
      <w:pPr>
        <w:spacing w:after="120"/>
      </w:pPr>
      <w:r>
        <w:t xml:space="preserve">This document is confidential and proprietary. Unauthorized distribution, publication, or disclosure is strictly prohibited.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2026-03-05T20:37:30.386Z</dcterms:created>
  <dcterms:modified xsi:type="dcterms:W3CDTF">2026-03-05T20:37:30.386Z</dcterms:modified>
</cp:coreProperties>
</file>

<file path=docProps/custom.xml><?xml version="1.0" encoding="utf-8"?>
<Properties xmlns="http://schemas.openxmlformats.org/officeDocument/2006/custom-properties" xmlns:vt="http://schemas.openxmlformats.org/officeDocument/2006/docPropsVTypes"/>
</file>