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both"/>
      </w:pPr>
      <w:r>
        <w:t xml:space="preserve">TEMPLATE NOTICE: This document is a template and has NOT been reviewed by a securities attorney or the Securities and Exchange Commission or any state securities authority. It is provided for informational purposes only. Before using this document in connection with any offering of securities, it MUST be reviewed and approved by a qualified securities attorney. The Fund Manager assumes no liability for the use of this template without proper legal review.</w:t>
      </w:r>
    </w:p>
    <w:p>
      <w:pPr>
        <w:spacing w:after="240" w:line="360" w:lineRule="auto"/>
      </w:pPr>
    </w:p>
    <w:p>
      <w:pPr>
        <w:spacing w:after="120" w:line="360" w:lineRule="auto"/>
        <w:jc w:val="center"/>
      </w:pPr>
      <w:r>
        <w:t xml:space="preserve">PRIVATE PLACEMENT MEMORANDUM</w:t>
      </w:r>
    </w:p>
    <w:p>
      <w:pPr>
        <w:spacing w:after="240" w:line="360" w:lineRule="auto"/>
        <w:jc w:val="center"/>
      </w:pPr>
      <w:r>
        <w:t xml:space="preserve">CONFIDENTIAL</w:t>
      </w:r>
    </w:p>
    <w:p>
      <w:pPr>
        <w:spacing w:after="120" w:line="360" w:lineRule="auto"/>
        <w:jc w:val="center"/>
      </w:pPr>
      <w:r>
        <w:t xml:space="preserve">Predictive Alpha Fund, LLC</w:t>
      </w:r>
    </w:p>
    <w:p>
      <w:pPr>
        <w:spacing w:after="120" w:line="360" w:lineRule="auto"/>
        <w:jc w:val="center"/>
      </w:pPr>
      <w:r>
        <w:t xml:space="preserve">Offering of Membership Interests</w:t>
      </w:r>
    </w:p>
    <w:p>
      <w:pPr>
        <w:spacing w:after="360" w:line="360" w:lineRule="auto"/>
        <w:jc w:val="center"/>
      </w:pPr>
      <w:r>
        <w:t xml:space="preserve">March 2026</w:t>
      </w:r>
    </w:p>
    <w:p>
      <w:pPr>
        <w:spacing w:after="120" w:line="360" w:lineRule="auto"/>
        <w:jc w:val="center"/>
      </w:pPr>
      <w:r>
        <w:t xml:space="preserve">THE INTERESTS OFFERED HEREBY HAVE NOT BEEN REGISTERED UNDER THE SECURITIES ACT OF 1933, AS AMENDED, OR ANY STATE SECURITIES LAWS. THESE INTERESTS MAY NOT BE OFFERED, SOLD, OR OTHERWISE TRANSFERRED EXCEPT IN COMPLIANCE WITH APPLICABLE SECURITIES LAWS.</w:t>
      </w:r>
    </w:p>
    <w:r>
      <w:br w:type="page"/>
    </w:r>
    <w:p>
      <w:pPr>
        <w:spacing w:after="120" w:before="240" w:line="360" w:lineRule="auto"/>
      </w:pPr>
      <w:r>
        <w:t xml:space="preserve">TABLE OF CONTENTS</w:t>
      </w:r>
    </w:p>
    <w:p>
      <w:pPr>
        <w:spacing w:after="120" w:line="360" w:lineRule="auto"/>
        <w:jc w:val="both"/>
      </w:pPr>
      <w:r>
        <w:t xml:space="preserve">I. EXECUTIVE SUMMARY</w:t>
      </w:r>
    </w:p>
    <w:p>
      <w:pPr>
        <w:spacing w:after="120" w:line="360" w:lineRule="auto"/>
        <w:jc w:val="both"/>
      </w:pPr>
      <w:r>
        <w:t xml:space="preserve">II. THE STRATEGY</w:t>
      </w:r>
    </w:p>
    <w:p>
      <w:pPr>
        <w:spacing w:after="120" w:line="360" w:lineRule="auto"/>
        <w:jc w:val="both"/>
      </w:pPr>
      <w:r>
        <w:t xml:space="preserve">III. MANAGEMENT</w:t>
      </w:r>
    </w:p>
    <w:p>
      <w:pPr>
        <w:spacing w:after="120" w:line="360" w:lineRule="auto"/>
        <w:jc w:val="both"/>
      </w:pPr>
      <w:r>
        <w:t xml:space="preserve">IV. FEE STRUCTURE</w:t>
      </w:r>
    </w:p>
    <w:p>
      <w:pPr>
        <w:spacing w:after="120" w:line="360" w:lineRule="auto"/>
        <w:jc w:val="both"/>
      </w:pPr>
      <w:r>
        <w:t xml:space="preserve">V. RISK FACTORS</w:t>
      </w:r>
    </w:p>
    <w:p>
      <w:pPr>
        <w:spacing w:after="120" w:line="360" w:lineRule="auto"/>
        <w:jc w:val="both"/>
      </w:pPr>
      <w:r>
        <w:t xml:space="preserve">VI. TAX CONSIDERATIONS</w:t>
      </w:r>
    </w:p>
    <w:p>
      <w:pPr>
        <w:spacing w:after="120" w:line="360" w:lineRule="auto"/>
        <w:jc w:val="both"/>
      </w:pPr>
      <w:r>
        <w:t xml:space="preserve">VII. REGULATORY MATTERS</w:t>
      </w:r>
    </w:p>
    <w:p>
      <w:pPr>
        <w:spacing w:after="120" w:line="360" w:lineRule="auto"/>
        <w:jc w:val="both"/>
      </w:pPr>
      <w:r>
        <w:t xml:space="preserve">VIII. ADDITIONAL INFORMATION</w:t>
      </w:r>
    </w:p>
    <w:p>
      <w:pPr>
        <w:spacing w:after="120" w:line="360" w:lineRule="auto"/>
        <w:jc w:val="both"/>
      </w:pPr>
      <w:r>
        <w:t xml:space="preserve">FINAL DISCLAIMERS</w:t>
      </w:r>
    </w:p>
    <w:r>
      <w:br w:type="page"/>
    </w:r>
    <w:p>
      <w:pPr>
        <w:spacing w:after="120" w:before="240" w:line="360" w:lineRule="auto"/>
      </w:pPr>
      <w:r>
        <w:t xml:space="preserve">I. EXECUTIVE SUMMARY</w:t>
      </w:r>
    </w:p>
    <w:p>
      <w:pPr>
        <w:spacing w:after="80" w:before="120" w:line="360" w:lineRule="auto"/>
      </w:pPr>
      <w:r>
        <w:t xml:space="preserve">The Fund</w:t>
      </w:r>
    </w:p>
    <w:p>
      <w:pPr>
        <w:spacing w:after="120" w:line="360" w:lineRule="auto"/>
        <w:jc w:val="both"/>
      </w:pPr>
      <w:r>
        <w:t xml:space="preserve">Predictive Alpha Fund, LLC, a limited liability company taxed as a partnership.</w:t>
      </w:r>
    </w:p>
    <w:p>
      <w:pPr>
        <w:spacing w:after="80" w:before="120" w:line="360" w:lineRule="auto"/>
      </w:pPr>
      <w:r>
        <w:t xml:space="preserve">The Manager</w:t>
      </w:r>
    </w:p>
    <w:p>
      <w:pPr>
        <w:spacing w:after="120" w:line="360" w:lineRule="auto"/>
        <w:jc w:val="both"/>
      </w:pPr>
      <w:r>
        <w:t xml:space="preserve">John Bradley, sole manager and developer of the trading system.</w:t>
      </w:r>
    </w:p>
    <w:p>
      <w:pPr>
        <w:spacing w:after="80" w:before="120" w:line="360" w:lineRule="auto"/>
      </w:pPr>
      <w:r>
        <w:t xml:space="preserve">The Strategy</w:t>
      </w:r>
    </w:p>
    <w:p>
      <w:pPr>
        <w:spacing w:after="120" w:line="360" w:lineRule="auto"/>
        <w:jc w:val="both"/>
      </w:pPr>
      <w:r>
        <w:t xml:space="preserve">AI-powered automated trading on Polymarket, the world's largest prediction market platform. The system scans markets every 5 minutes, uses AI to estimate true probabilities, and trades when it identifies mispricings. Think of it like finding odds that are wrong and betting against them.</w:t>
      </w:r>
    </w:p>
    <w:p>
      <w:pPr>
        <w:spacing w:after="80" w:before="120" w:line="360" w:lineRule="auto"/>
      </w:pPr>
      <w:r>
        <w:t xml:space="preserve">The Offering</w:t>
      </w:r>
    </w:p>
    <w:p>
      <w:pPr>
        <w:spacing w:after="120" w:line="360" w:lineRule="auto"/>
        <w:jc w:val="both"/>
      </w:pPr>
      <w:r>
        <w:t xml:space="preserve">Membership interests offered under Regulation D, Rule 506(b). Up to 35 non-accredited investors permitted.</w:t>
      </w:r>
    </w:p>
    <w:p>
      <w:pPr>
        <w:spacing w:after="80" w:before="120" w:line="360" w:lineRule="auto"/>
      </w:pPr>
      <w:r>
        <w:t xml:space="preserve">Use of Proceeds</w:t>
      </w:r>
    </w:p>
    <w:p>
      <w:pPr>
        <w:spacing w:after="120" w:line="360" w:lineRule="auto"/>
        <w:jc w:val="both"/>
      </w:pPr>
      <w:r>
        <w:t xml:space="preserve">100% of invested capital deployed to prediction market trading on Polymarket.</w:t>
      </w:r>
    </w:p>
    <w:r>
      <w:br w:type="page"/>
    </w:r>
    <w:p>
      <w:pPr>
        <w:spacing w:after="120" w:before="240" w:line="360" w:lineRule="auto"/>
      </w:pPr>
      <w:r>
        <w:t xml:space="preserve">II. THE STRATEGY</w:t>
      </w:r>
    </w:p>
    <w:p>
      <w:pPr>
        <w:spacing w:after="80" w:before="120" w:line="360" w:lineRule="auto"/>
      </w:pPr>
      <w:r>
        <w:t xml:space="preserve">What are Prediction Markets?</w:t>
      </w:r>
    </w:p>
    <w:p>
      <w:pPr>
        <w:spacing w:after="120" w:line="360" w:lineRule="auto"/>
        <w:jc w:val="both"/>
      </w:pPr>
      <w:r>
        <w:t xml:space="preserve">Websites where people bet on future events. The price reflects the crowd's estimate of probability. If a bet costs 60 cents, the crowd thinks there's a 60% chance.</w:t>
      </w:r>
    </w:p>
    <w:p>
      <w:pPr>
        <w:spacing w:after="80" w:before="120" w:line="360" w:lineRule="auto"/>
      </w:pPr>
      <w:r>
        <w:t xml:space="preserve">How Does the AI Work?</w:t>
      </w:r>
    </w:p>
    <w:p>
      <w:pPr>
        <w:spacing w:after="120" w:line="360" w:lineRule="auto"/>
        <w:jc w:val="both"/>
      </w:pPr>
      <w:r>
        <w:t xml:space="preserve">Our AI reads each market question, researches it from scratch without seeing the market price (to avoid being biased), and estimates the true probability. When it disagrees with the crowd significantly, we place a bet.</w:t>
      </w:r>
    </w:p>
    <w:p>
      <w:pPr>
        <w:spacing w:after="80" w:before="120" w:line="360" w:lineRule="auto"/>
      </w:pPr>
      <w:r>
        <w:t xml:space="preserve">What Types of Markets?</w:t>
      </w:r>
    </w:p>
    <w:p>
      <w:pPr>
        <w:spacing w:after="120" w:line="360" w:lineRule="auto"/>
        <w:jc w:val="both"/>
      </w:pPr>
      <w:r>
        <w:t xml:space="preserve">The system focuses on political markets and weather markets where AI performs best, and avoids cryptocurrency and sports markets where it has no edge.</w:t>
      </w:r>
    </w:p>
    <w:p>
      <w:pPr>
        <w:spacing w:after="80" w:before="120" w:line="360" w:lineRule="auto"/>
      </w:pPr>
      <w:r>
        <w:t xml:space="preserve">Position Sizing</w:t>
      </w:r>
    </w:p>
    <w:p>
      <w:pPr>
        <w:spacing w:after="120" w:line="360" w:lineRule="auto"/>
        <w:jc w:val="both"/>
      </w:pPr>
      <w:r>
        <w:t xml:space="preserve">Uses the Kelly Criterion (quarter-Kelly) — a mathematical formula that calculates optimal bet sizes to maximize long-term growth while managing risk.</w:t>
      </w:r>
    </w:p>
    <w:p>
      <w:pPr>
        <w:spacing w:after="80" w:before="120" w:line="360" w:lineRule="auto"/>
      </w:pPr>
      <w:r>
        <w:t xml:space="preserve">Calibration</w:t>
      </w:r>
    </w:p>
    <w:p>
      <w:pPr>
        <w:spacing w:after="120" w:line="360" w:lineRule="auto"/>
        <w:jc w:val="both"/>
      </w:pPr>
      <w:r>
        <w:t xml:space="preserve">The AI's raw probability estimates are adjusted using Platt scaling, a statistical technique that corrects for systematic over-confidence. This improved win rates from 64.9% to 68.5% in backtesting.</w:t>
      </w:r>
    </w:p>
    <w:r>
      <w:br w:type="page"/>
    </w:r>
    <w:p>
      <w:pPr>
        <w:spacing w:after="120" w:before="240" w:line="360" w:lineRule="auto"/>
      </w:pPr>
      <w:r>
        <w:t xml:space="preserve">III. MANAGEMENT</w:t>
      </w:r>
    </w:p>
    <w:p>
      <w:pPr>
        <w:spacing w:after="80" w:before="120" w:line="360" w:lineRule="auto"/>
      </w:pPr>
      <w:r>
        <w:t xml:space="preserve">John Bradley — Manager</w:t>
      </w:r>
    </w:p>
    <w:p>
      <w:pPr>
        <w:spacing w:after="120" w:line="360" w:lineRule="auto"/>
        <w:jc w:val="both"/>
      </w:pPr>
    </w:p>
    <w:p>
      <w:pPr>
        <w:spacing w:after="80" w:line="360" w:lineRule="auto"/>
      </w:pPr>
      <w:r>
        <w:t xml:space="preserve">Role: </w:t>
      </w:r>
      <w:r>
        <w:rPr>
          <w:b w:val="false"/>
          <w:bCs w:val="false"/>
        </w:rPr>
        <w:t xml:space="preserve">Sole manager, developer, and operator. Built the entire trading system including AI probability estimation, automated execution, risk management, and monitoring infrastructure.</w:t>
      </w:r>
    </w:p>
    <w:p>
      <w:pPr>
        <w:spacing w:after="80" w:line="360" w:lineRule="auto"/>
      </w:pPr>
      <w:r>
        <w:t xml:space="preserve">Compensation: </w:t>
      </w:r>
      <w:r>
        <w:rPr>
          <w:b w:val="false"/>
          <w:bCs w:val="false"/>
        </w:rPr>
        <w:t xml:space="preserve">0% management fee, 30% performance fee above high-water mark.</w:t>
      </w:r>
    </w:p>
    <w:p>
      <w:pPr>
        <w:spacing w:after="240" w:line="360" w:lineRule="auto"/>
      </w:pPr>
      <w:r>
        <w:t xml:space="preserve">Contact: </w:t>
      </w:r>
      <w:r>
        <w:rPr>
          <w:b w:val="false"/>
          <w:bCs w:val="false"/>
        </w:rPr>
        <w:t xml:space="preserve">johnhavenbradley@gmail.com</w:t>
      </w:r>
    </w:p>
    <w:r>
      <w:br w:type="page"/>
    </w:r>
    <w:p>
      <w:pPr>
        <w:spacing w:after="120" w:before="240" w:line="360" w:lineRule="auto"/>
      </w:pPr>
      <w:r>
        <w:t xml:space="preserve">IV. FEE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3D3D3" w:color="auto"/>
          </w:tcPr>
          <w:p>
            <w:pPr>
              <w:spacing w:after="120" w:line="360" w:lineRule="auto"/>
              <w:jc w:val="center"/>
            </w:pPr>
            <w:r>
              <w:t xml:space="preserve">Fee</w:t>
            </w:r>
          </w:p>
        </w:tc>
        <w:tc>
          <w:tcPr>
            <w:shd w:fill="D3D3D3" w:color="auto"/>
          </w:tcPr>
          <w:p>
            <w:pPr>
              <w:spacing w:after="120" w:line="360" w:lineRule="auto"/>
              <w:jc w:val="center"/>
            </w:pPr>
            <w:r>
              <w:t xml:space="preserve">Rate</w:t>
            </w:r>
          </w:p>
        </w:tc>
        <w:tc>
          <w:tcPr>
            <w:shd w:fill="D3D3D3" w:color="auto"/>
          </w:tcPr>
          <w:p>
            <w:pPr>
              <w:spacing w:after="120" w:line="360" w:lineRule="auto"/>
              <w:jc w:val="center"/>
            </w:pPr>
            <w:r>
              <w:t xml:space="preserve">Notes</w:t>
            </w:r>
          </w:p>
        </w:tc>
      </w:tr>
      <w:tr>
        <w:tc>
          <w:p>
            <w:pPr>
              <w:spacing w:after="120" w:line="360" w:lineRule="auto"/>
              <w:jc w:val="both"/>
            </w:pPr>
            <w:r>
              <w:t xml:space="preserve">Management Fee</w:t>
            </w:r>
          </w:p>
        </w:tc>
        <w:tc>
          <w:p>
            <w:pPr>
              <w:spacing w:after="120" w:line="360" w:lineRule="auto"/>
              <w:jc w:val="both"/>
            </w:pPr>
            <w:r>
              <w:t xml:space="preserve">0%</w:t>
            </w:r>
          </w:p>
        </w:tc>
        <w:tc>
          <w:p>
            <w:pPr>
              <w:spacing w:after="120" w:line="360" w:lineRule="auto"/>
              <w:jc w:val="both"/>
            </w:pPr>
            <w:r>
              <w:t xml:space="preserve">No annual fee on assets under management</w:t>
            </w:r>
          </w:p>
        </w:tc>
      </w:tr>
      <w:tr>
        <w:tc>
          <w:p>
            <w:pPr>
              <w:spacing w:after="120" w:line="360" w:lineRule="auto"/>
              <w:jc w:val="both"/>
            </w:pPr>
            <w:r>
              <w:t xml:space="preserve">Performance Fee</w:t>
            </w:r>
          </w:p>
        </w:tc>
        <w:tc>
          <w:p>
            <w:pPr>
              <w:spacing w:after="120" w:line="360" w:lineRule="auto"/>
              <w:jc w:val="both"/>
            </w:pPr>
            <w:r>
              <w:t xml:space="preserve">30%</w:t>
            </w:r>
          </w:p>
        </w:tc>
        <w:tc>
          <w:p>
            <w:pPr>
              <w:spacing w:after="120" w:line="360" w:lineRule="auto"/>
              <w:jc w:val="both"/>
            </w:pPr>
            <w:r>
              <w:t xml:space="preserve">Charged only on net new profits above high-water mark</w:t>
            </w:r>
          </w:p>
        </w:tc>
      </w:tr>
      <w:tr>
        <w:tc>
          <w:p>
            <w:pPr>
              <w:spacing w:after="120" w:line="360" w:lineRule="auto"/>
              <w:jc w:val="both"/>
            </w:pPr>
            <w:r>
              <w:t xml:space="preserve">Minimum Investment</w:t>
            </w:r>
          </w:p>
        </w:tc>
        <w:tc>
          <w:p>
            <w:pPr>
              <w:spacing w:after="120" w:line="360" w:lineRule="auto"/>
              <w:jc w:val="both"/>
            </w:pPr>
            <w:r>
              <w:t xml:space="preserve">$1,000</w:t>
            </w:r>
          </w:p>
        </w:tc>
        <w:tc>
          <w:p>
            <w:pPr>
              <w:spacing w:after="120" w:line="360" w:lineRule="auto"/>
              <w:jc w:val="both"/>
            </w:pPr>
          </w:p>
        </w:tc>
      </w:tr>
      <w:tr>
        <w:tc>
          <w:p>
            <w:pPr>
              <w:spacing w:after="120" w:line="360" w:lineRule="auto"/>
              <w:jc w:val="both"/>
            </w:pPr>
            <w:r>
              <w:t xml:space="preserve">Lock-Up Period</w:t>
            </w:r>
          </w:p>
        </w:tc>
        <w:tc>
          <w:p>
            <w:pPr>
              <w:spacing w:after="120" w:line="360" w:lineRule="auto"/>
              <w:jc w:val="both"/>
            </w:pPr>
            <w:r>
              <w:t xml:space="preserve">90 days</w:t>
            </w:r>
          </w:p>
        </w:tc>
        <w:tc>
          <w:p>
            <w:pPr>
              <w:spacing w:after="120" w:line="360" w:lineRule="auto"/>
              <w:jc w:val="both"/>
            </w:pPr>
          </w:p>
        </w:tc>
      </w:tr>
      <w:tr>
        <w:tc>
          <w:p>
            <w:pPr>
              <w:spacing w:after="120" w:line="360" w:lineRule="auto"/>
              <w:jc w:val="both"/>
            </w:pPr>
            <w:r>
              <w:t xml:space="preserve">Withdrawal Notice</w:t>
            </w:r>
          </w:p>
        </w:tc>
        <w:tc>
          <w:p>
            <w:pPr>
              <w:spacing w:after="120" w:line="360" w:lineRule="auto"/>
              <w:jc w:val="both"/>
            </w:pPr>
            <w:r>
              <w:t xml:space="preserve">30 days</w:t>
            </w:r>
          </w:p>
        </w:tc>
        <w:tc>
          <w:p>
            <w:pPr>
              <w:spacing w:after="120" w:line="360" w:lineRule="auto"/>
              <w:jc w:val="both"/>
            </w:pPr>
          </w:p>
        </w:tc>
      </w:tr>
      <w:tr>
        <w:tc>
          <w:p>
            <w:pPr>
              <w:spacing w:after="120" w:line="360" w:lineRule="auto"/>
              <w:jc w:val="both"/>
            </w:pPr>
            <w:r>
              <w:t xml:space="preserve">Withdrawal Windows</w:t>
            </w:r>
          </w:p>
        </w:tc>
        <w:tc>
          <w:p>
            <w:pPr>
              <w:spacing w:after="120" w:line="360" w:lineRule="auto"/>
              <w:jc w:val="both"/>
            </w:pPr>
            <w:r>
              <w:t xml:space="preserve">Quarterly</w:t>
            </w:r>
          </w:p>
        </w:tc>
        <w:tc>
          <w:p>
            <w:pPr>
              <w:spacing w:after="120" w:line="360" w:lineRule="auto"/>
              <w:jc w:val="both"/>
            </w:pPr>
            <w:r>
              <w:t xml:space="preserve">Mar 31, Jun 30, Sep 30, Dec 31</w:t>
            </w:r>
          </w:p>
        </w:tc>
      </w:tr>
    </w:tbl>
    <w:p>
      <w:pPr>
        <w:spacing w:after="240" w:line="360" w:lineRule="auto"/>
      </w:pPr>
    </w:p>
    <w:p>
      <w:pPr>
        <w:spacing w:after="80" w:before="120" w:line="360" w:lineRule="auto"/>
      </w:pPr>
      <w:r>
        <w:t xml:space="preserve">Worked Example 1 — Profit Scenario</w:t>
      </w:r>
    </w:p>
    <w:p>
      <w:pPr>
        <w:spacing w:after="120" w:line="360" w:lineRule="auto"/>
        <w:jc w:val="both"/>
      </w:pPr>
      <w:r>
        <w:t xml:space="preserve">Investor contributes $10,000. After one quarter, NAV is $13,000. Profit: $3,000. Performance fee: 30% × $3,000 = $900. Investor's net gain: $2,100 (21% return). High-water mark set at $13,000.</w:t>
      </w:r>
    </w:p>
    <w:p>
      <w:pPr>
        <w:spacing w:after="80" w:before="120" w:line="360" w:lineRule="auto"/>
      </w:pPr>
      <w:r>
        <w:t xml:space="preserve">Worked Example 2 — Loss and Recovery Scenario</w:t>
      </w:r>
    </w:p>
    <w:p>
      <w:pPr>
        <w:spacing w:after="120" w:line="360" w:lineRule="auto"/>
        <w:jc w:val="both"/>
      </w:pPr>
      <w:r>
        <w:t xml:space="preserve">NAV drops from $13,000 to $11,000. No performance fee charged. NAV recovers to $13,000. Still no performance fee (must exceed prior high-water mark of $13,000). NAV reaches $14,000. Performance fee charged only on the $1,000 above $13,000: 30% × $1,000 = $300.</w:t>
      </w:r>
    </w:p>
    <w:p>
      <w:pPr>
        <w:spacing w:after="80" w:before="120" w:line="360" w:lineRule="auto"/>
      </w:pPr>
      <w:r>
        <w:t xml:space="preserve">Worked Example 3 — Withdrawal</w:t>
      </w:r>
    </w:p>
    <w:p>
      <w:pPr>
        <w:spacing w:after="120" w:line="360" w:lineRule="auto"/>
        <w:jc w:val="both"/>
      </w:pPr>
      <w:r>
        <w:t xml:space="preserve">Investor wants to withdraw after 90-day lock-up. Submits written notice. Withdrawal processed at next quarterly window. Pro-rata share of NAV minus any accrued performance fees.</w:t>
      </w:r>
    </w:p>
    <w:r>
      <w:br w:type="page"/>
    </w:r>
    <w:p>
      <w:pPr>
        <w:spacing w:after="120" w:before="240" w:line="360" w:lineRule="auto"/>
      </w:pPr>
      <w:r>
        <w:t xml:space="preserve">V. RISK FACTORS</w:t>
      </w:r>
    </w:p>
    <w:p>
      <w:pPr>
        <w:spacing w:after="120" w:line="360" w:lineRule="auto"/>
        <w:jc w:val="both"/>
      </w:pPr>
      <w:r>
        <w:t xml:space="preserve">INVESTORS SHOULD CAREFULLY CONSIDER THE FOLLOWING RISK FACTORS BEFORE INVESTING. THIS INVESTMENT IS SPECULATIVE AND INVOLVES A HIGH DEGREE OF RISK. INVESTORS SHOULD BE PREPARED TO LOSE THEIR ENTIRE INVESTMENT.</w:t>
      </w:r>
    </w:p>
    <w:p>
      <w:pPr>
        <w:spacing w:after="120" w:line="360" w:lineRule="auto"/>
      </w:pPr>
    </w:p>
    <w:p>
      <w:pPr>
        <w:spacing w:after="80" w:before="120" w:line="360" w:lineRule="auto"/>
      </w:pPr>
      <w:r>
        <w:t xml:space="preserve">1. BACKTEST VS. LIVE PERFORMANCE RISK</w:t>
      </w:r>
    </w:p>
    <w:p>
      <w:pPr>
        <w:spacing w:after="120" w:line="360" w:lineRule="auto"/>
        <w:jc w:val="both"/>
      </w:pPr>
      <w:r>
        <w:t xml:space="preserve">All performance data presented is from historical backtesting — simulated trading against markets that have already resolved. We know the outcomes. Live trading introduces execution challenges not captured in backtests: orders may not fill at expected prices (slippage), markets may move before we can trade, and timing differences could significantly reduce returns. There is no guarantee that backtested results will translate to live performance.</w:t>
      </w:r>
    </w:p>
    <w:p>
      <w:pPr>
        <w:spacing w:after="80" w:before="120" w:line="360" w:lineRule="auto"/>
      </w:pPr>
      <w:r>
        <w:t xml:space="preserve">2. AI MODEL RISK</w:t>
      </w:r>
    </w:p>
    <w:p>
      <w:pPr>
        <w:spacing w:after="120" w:line="360" w:lineRule="auto"/>
        <w:jc w:val="both"/>
      </w:pPr>
      <w:r>
        <w:t xml:space="preserve">The entire strategy depends on AI probability estimation. If AI models become less accurate over time, if prediction markets become more efficient (reducing mispricings), or if our calibration methods degrade, the edge could disappear entirely. Our current Brier score of 0.217 is only modestly better than random guessing (0.25).</w:t>
      </w:r>
    </w:p>
    <w:p>
      <w:pPr>
        <w:spacing w:after="80" w:before="120" w:line="360" w:lineRule="auto"/>
      </w:pPr>
      <w:r>
        <w:t xml:space="preserve">3. NO-BIAS DEPENDENCY RISK</w:t>
      </w:r>
    </w:p>
    <w:p>
      <w:pPr>
        <w:spacing w:after="120" w:line="360" w:lineRule="auto"/>
        <w:jc w:val="both"/>
      </w:pPr>
      <w:r>
        <w:t xml:space="preserve">Our backtested win rate for NO bets (70.2%) is significantly higher than for YES bets (63.3%). This asymmetry reflects a well-documented bias in prediction markets where participants overprice exciting outcomes. However, as more sophisticated traders and AI systems enter the market, this bias could diminish or disappear, reducing our primary source of edge.</w:t>
      </w:r>
    </w:p>
    <w:p>
      <w:pPr>
        <w:spacing w:after="80" w:before="120" w:line="360" w:lineRule="auto"/>
      </w:pPr>
      <w:r>
        <w:t xml:space="preserve">4. CAPITAL CONCENTRATION RISK</w:t>
      </w:r>
    </w:p>
    <w:p>
      <w:pPr>
        <w:spacing w:after="120" w:line="360" w:lineRule="auto"/>
        <w:jc w:val="both"/>
      </w:pPr>
      <w:r>
        <w:t xml:space="preserve">At current capital levels ($75 seed capital), the system deploys most available capital across many small positions simultaneously. This creates high exposure — a single bad streak could significantly impact total returns. As the fund grows, concentration risk decreases.</w:t>
      </w:r>
    </w:p>
    <w:p>
      <w:pPr>
        <w:spacing w:after="80" w:before="120" w:line="360" w:lineRule="auto"/>
      </w:pPr>
      <w:r>
        <w:t xml:space="preserve">5. RESOLUTION TIMING RISK</w:t>
      </w:r>
    </w:p>
    <w:p>
      <w:pPr>
        <w:spacing w:after="120" w:line="360" w:lineRule="auto"/>
        <w:jc w:val="both"/>
      </w:pPr>
      <w:r>
        <w:t xml:space="preserve">Prediction markets can take days, weeks, or months to resolve. Capital locked in long-duration markets cannot be redeployed to new opportunities. This capital inefficiency may reduce overall returns compared to backtested projections that assume immediate resolution.</w:t>
      </w:r>
    </w:p>
    <w:p>
      <w:pPr>
        <w:spacing w:after="80" w:before="120" w:line="360" w:lineRule="auto"/>
      </w:pPr>
      <w:r>
        <w:t xml:space="preserve">6. INFRASTRUCTURE COST RISK</w:t>
      </w:r>
    </w:p>
    <w:p>
      <w:pPr>
        <w:spacing w:after="120" w:line="360" w:lineRule="auto"/>
        <w:jc w:val="both"/>
      </w:pPr>
      <w:r>
        <w:t xml:space="preserve">Running the trading system costs approximately $20-30 per month (cloud server hosting + AI API calls). At small fund sizes, these costs represent a meaningful percentage of capital and create a drag on returns.</w:t>
      </w:r>
    </w:p>
    <w:p>
      <w:pPr>
        <w:spacing w:after="80" w:before="120" w:line="360" w:lineRule="auto"/>
      </w:pPr>
      <w:r>
        <w:t xml:space="preserve">7. TAKER FEE RISK</w:t>
      </w:r>
    </w:p>
    <w:p>
      <w:pPr>
        <w:spacing w:after="120" w:line="360" w:lineRule="auto"/>
        <w:jc w:val="both"/>
      </w:pPr>
      <w:r>
        <w:t xml:space="preserve">Polymarket charges taker fees calculated as price × (1 - price) × fee rate. These fees are highest for markets near 50/50 pricing and can consume 1-3% of edge per trade. The fee structure was introduced in February 2026 and could change.</w:t>
      </w:r>
    </w:p>
    <w:p>
      <w:pPr>
        <w:spacing w:after="80" w:before="120" w:line="360" w:lineRule="auto"/>
      </w:pPr>
      <w:r>
        <w:t xml:space="preserve">8. COMPETITIVE PRESSURE RISK</w:t>
      </w:r>
    </w:p>
    <w:p>
      <w:pPr>
        <w:spacing w:after="120" w:line="360" w:lineRule="auto"/>
        <w:jc w:val="both"/>
      </w:pPr>
      <w:r>
        <w:t xml:space="preserve">The prediction market bot ecosystem is growing rapidly. OpenClaw, an AI agent framework, reportedly earned $115,000 in one week on Polymarket. Open-source trading bots are proliferating. Only approximately 0.5% of Polymarket users earn more than $1,000. Our edge must be continuously maintained and improved against increasingly sophisticated competition.</w:t>
      </w:r>
    </w:p>
    <w:p>
      <w:pPr>
        <w:spacing w:after="80" w:before="120" w:line="360" w:lineRule="auto"/>
      </w:pPr>
      <w:r>
        <w:t xml:space="preserve">9. ARBITRAGE VS. FORECASTING RISK</w:t>
      </w:r>
    </w:p>
    <w:p>
      <w:pPr>
        <w:spacing w:after="120" w:line="360" w:lineRule="auto"/>
        <w:jc w:val="both"/>
      </w:pPr>
      <w:r>
        <w:t xml:space="preserve">Research indicates that the dominant profitable bot strategy on Polymarket is mechanical arbitrage (exploiting price differences), not AI forecasting. Our forecasting-based approach is differentiated but unproven at institutional scale. If AI forecasting cannot generate competitive returns against arbitrage strategies, the fund's thesis may be fundamentally challenged.</w:t>
      </w:r>
    </w:p>
    <w:p>
      <w:pPr>
        <w:spacing w:after="80" w:before="120" w:line="360" w:lineRule="auto"/>
      </w:pPr>
      <w:r>
        <w:t xml:space="preserve">10. CATEGORY LIMITATION RISK</w:t>
      </w:r>
    </w:p>
    <w:p>
      <w:pPr>
        <w:spacing w:after="120" w:line="360" w:lineRule="auto"/>
        <w:jc w:val="both"/>
      </w:pPr>
      <w:r>
        <w:t xml:space="preserve">Our system performs best on political and weather markets and actively avoids cryptocurrency, sports, and Federal Reserve rate markets where AI has demonstrated no edge. This category filtering reduces the total number of trading opportunities, which may limit returns.</w:t>
      </w:r>
    </w:p>
    <w:p>
      <w:pPr>
        <w:spacing w:after="80" w:before="120" w:line="360" w:lineRule="auto"/>
      </w:pPr>
      <w:r>
        <w:t xml:space="preserve">11. PLATFORM RISK</w:t>
      </w:r>
    </w:p>
    <w:p>
      <w:pPr>
        <w:spacing w:after="120" w:line="360" w:lineRule="auto"/>
        <w:jc w:val="both"/>
      </w:pPr>
      <w:r>
        <w:t xml:space="preserve">Polymarket is a cryptocurrency-based platform operating on the Polygon blockchain. The CFTC took enforcement action against Polymarket in 2022, resulting in a $1.4M fine. The platform could face additional regulatory action, experience technical failures, suffer liquidity crises, or cease operations.</w:t>
      </w:r>
    </w:p>
    <w:p>
      <w:pPr>
        <w:spacing w:after="80" w:before="120" w:line="360" w:lineRule="auto"/>
      </w:pPr>
      <w:r>
        <w:t xml:space="preserve">12. NO LIVE TRACK RECORD</w:t>
      </w:r>
    </w:p>
    <w:p>
      <w:pPr>
        <w:spacing w:after="120" w:line="360" w:lineRule="auto"/>
        <w:jc w:val="both"/>
      </w:pPr>
      <w:r>
        <w:t xml:space="preserve">As of March 2026, the fund has NOT executed any real trades with real money. This is the single most important risk factor. Until the system demonstrates profitability with actual capital, all performance claims are theoretical.</w:t>
      </w:r>
    </w:p>
    <w:r>
      <w:br w:type="page"/>
    </w:r>
    <w:p>
      <w:pPr>
        <w:spacing w:after="120" w:before="240" w:line="360" w:lineRule="auto"/>
      </w:pPr>
      <w:r>
        <w:t xml:space="preserve">VI. TAX CONSIDERATIONS</w:t>
      </w:r>
    </w:p>
    <w:p>
      <w:pPr>
        <w:spacing w:after="120" w:line="360" w:lineRule="auto"/>
        <w:jc w:val="both"/>
      </w:pPr>
      <w:r>
        <w:t xml:space="preserve">The Fund is structured as an LLC taxed as a partnership. The Fund will file IRS Form 1065 and issue K-1 schedules to all members annually.</w:t>
      </w:r>
    </w:p>
    <w:p>
      <w:pPr>
        <w:spacing w:after="120" w:line="360" w:lineRule="auto"/>
      </w:pPr>
    </w:p>
    <w:p>
      <w:pPr>
        <w:spacing w:after="120" w:line="360" w:lineRule="auto"/>
        <w:jc w:val="both"/>
      </w:pPr>
      <w:r>
        <w:t xml:space="preserve">Tax treatment of prediction market gains is unsettled and could be classified as:</w:t>
      </w:r>
    </w:p>
    <w:p>
      <w:pPr>
        <w:spacing w:after="80" w:line="360" w:lineRule="auto"/>
        <w:jc w:val="both"/>
      </w:pPr>
      <w:r>
        <w:t xml:space="preserve">Gambling income (taxed as ordinary income, losses deductible only against winnings)</w:t>
      </w:r>
    </w:p>
    <w:p>
      <w:pPr>
        <w:spacing w:after="80" w:line="360" w:lineRule="auto"/>
        <w:jc w:val="both"/>
      </w:pPr>
      <w:r>
        <w:t xml:space="preserve">Capital gains (potentially more favorable, especially for long-term holdings)</w:t>
      </w:r>
    </w:p>
    <w:p>
      <w:pPr>
        <w:spacing w:after="240" w:line="360" w:lineRule="auto"/>
        <w:jc w:val="both"/>
      </w:pPr>
      <w:r>
        <w:t xml:space="preserve">Section 1256 treatment (60% long-term / 40% short-term, requires CFTC-listed exchange)</w:t>
      </w:r>
    </w:p>
    <w:p>
      <w:pPr>
        <w:spacing w:after="120" w:line="360" w:lineRule="auto"/>
        <w:jc w:val="both"/>
      </w:pPr>
      <w:r>
        <w:t xml:space="preserve">The Manager makes no representations regarding tax treatment. Each investor should consult their own tax advisor.</w:t>
      </w:r>
    </w:p>
    <w:r>
      <w:br w:type="page"/>
    </w:r>
    <w:p>
      <w:pPr>
        <w:spacing w:after="120" w:before="240" w:line="360" w:lineRule="auto"/>
      </w:pPr>
      <w:r>
        <w:t xml:space="preserve">VII. REGULATORY MATTERS</w:t>
      </w:r>
    </w:p>
    <w:p>
      <w:pPr>
        <w:spacing w:after="80" w:before="120" w:line="360" w:lineRule="auto"/>
      </w:pPr>
      <w:r>
        <w:t xml:space="preserve">CFTC</w:t>
      </w:r>
    </w:p>
    <w:p>
      <w:pPr>
        <w:spacing w:after="120" w:line="360" w:lineRule="auto"/>
        <w:jc w:val="both"/>
      </w:pPr>
      <w:r>
        <w:t xml:space="preserve">Event contracts on prediction markets are classified as swaps under the Commodity Exchange Act. The Fund operates under CFTC Rule 4.13, which provides an exemption for small pools (assets under $500K, up to 10 friends/colleagues). A notice of exemption will be filed with the National Futures Association (NFA).</w:t>
      </w:r>
    </w:p>
    <w:p>
      <w:pPr>
        <w:spacing w:after="80" w:before="120" w:line="360" w:lineRule="auto"/>
      </w:pPr>
      <w:r>
        <w:t xml:space="preserve">SEC</w:t>
      </w:r>
    </w:p>
    <w:p>
      <w:pPr>
        <w:spacing w:after="120" w:line="360" w:lineRule="auto"/>
        <w:jc w:val="both"/>
      </w:pPr>
      <w:r>
        <w:t xml:space="preserve">The interests are offered under Regulation D, Rule 506(b). Form D will be filed with the SEC within 15 days of the first sale. The Fund relies on the Section 3(c)(1) exemption from Investment Company Act registration (fewer than 100 investors).</w:t>
      </w:r>
    </w:p>
    <w:p>
      <w:pPr>
        <w:spacing w:after="80" w:before="120" w:line="360" w:lineRule="auto"/>
      </w:pPr>
      <w:r>
        <w:t xml:space="preserve">State Securities</w:t>
      </w:r>
    </w:p>
    <w:p>
      <w:pPr>
        <w:spacing w:after="120" w:line="360" w:lineRule="auto"/>
        <w:jc w:val="both"/>
      </w:pPr>
      <w:r>
        <w:t xml:space="preserve">Federal Reg D preempts state registration requirements, though some states may require notice filings and fees.</w:t>
      </w:r>
    </w:p>
    <w:p>
      <w:pPr>
        <w:spacing w:after="80" w:before="120" w:line="360" w:lineRule="auto"/>
      </w:pPr>
      <w:r>
        <w:t xml:space="preserve">Investment Adviser</w:t>
      </w:r>
    </w:p>
    <w:p>
      <w:pPr>
        <w:spacing w:after="120" w:line="360" w:lineRule="auto"/>
        <w:jc w:val="both"/>
      </w:pPr>
      <w:r>
        <w:t xml:space="preserve">The Manager is not registered as an investment adviser. The SEC registration threshold is $150M AUM.</w:t>
      </w:r>
    </w:p>
    <w:r>
      <w:br w:type="page"/>
    </w:r>
    <w:p>
      <w:pPr>
        <w:spacing w:after="120" w:before="240" w:line="360" w:lineRule="auto"/>
      </w:pPr>
      <w:r>
        <w:t xml:space="preserve">VIII. ADDITIONAL INFORMATION</w:t>
      </w:r>
    </w:p>
    <w:p>
      <w:pPr>
        <w:spacing w:after="80" w:before="120" w:line="360" w:lineRule="auto"/>
      </w:pPr>
      <w:r>
        <w:t xml:space="preserve">Formation and Governance</w:t>
      </w:r>
    </w:p>
    <w:p>
      <w:pPr>
        <w:spacing w:after="120" w:line="360" w:lineRule="auto"/>
        <w:jc w:val="both"/>
      </w:pPr>
      <w:r>
        <w:t xml:space="preserve">The Fund is organized as a [State] LLC. The Manager has sole discretion over trading decisions, risk management, and fund operations.</w:t>
      </w:r>
    </w:p>
    <w:p>
      <w:pPr>
        <w:spacing w:after="80" w:before="120" w:line="360" w:lineRule="auto"/>
      </w:pPr>
      <w:r>
        <w:t xml:space="preserve">Custody</w:t>
      </w:r>
    </w:p>
    <w:p>
      <w:pPr>
        <w:spacing w:after="120" w:line="360" w:lineRule="auto"/>
        <w:jc w:val="both"/>
      </w:pPr>
      <w:r>
        <w:t xml:space="preserve">Trading capital is held in USDC on the Polygon blockchain, accessed through the Fund's Polymarket account.</w:t>
      </w:r>
    </w:p>
    <w:p>
      <w:pPr>
        <w:spacing w:after="80" w:before="120" w:line="360" w:lineRule="auto"/>
      </w:pPr>
      <w:r>
        <w:t xml:space="preserve">Auditing</w:t>
      </w:r>
    </w:p>
    <w:p>
      <w:pPr>
        <w:spacing w:after="120" w:line="360" w:lineRule="auto"/>
        <w:jc w:val="both"/>
      </w:pPr>
      <w:r>
        <w:t xml:space="preserve">The Fund is not currently audited by an independent auditor. The Manager will provide monthly performance reports.</w:t>
      </w:r>
    </w:p>
    <w:p>
      <w:pPr>
        <w:spacing w:after="80" w:before="120" w:line="360" w:lineRule="auto"/>
      </w:pPr>
      <w:r>
        <w:t xml:space="preserve">Conflicts of Interest</w:t>
      </w:r>
    </w:p>
    <w:p>
      <w:pPr>
        <w:spacing w:after="120" w:line="360" w:lineRule="auto"/>
        <w:jc w:val="both"/>
      </w:pPr>
      <w:r>
        <w:t xml:space="preserve">The Manager is the sole developer and operator. The Manager may trade personal funds using similar strategies.</w:t>
      </w:r>
    </w:p>
    <w:r>
      <w:br w:type="page"/>
    </w:r>
    <w:p>
      <w:pPr>
        <w:spacing w:after="120" w:before="240" w:line="360" w:lineRule="auto"/>
      </w:pPr>
      <w:r>
        <w:t xml:space="preserve">FINAL DISCLAIMERS</w:t>
      </w:r>
    </w:p>
    <w:p>
      <w:pPr>
        <w:spacing w:after="240" w:line="360" w:lineRule="auto"/>
        <w:jc w:val="center"/>
      </w:pPr>
      <w:r>
        <w:t xml:space="preserve">THIS MEMORANDUM DOES NOT CONSTITUTE AN OFFER TO SELL OR A SOLICITATION OF AN OFFER TO BUY SECURITIES IN ANY JURISDICTION WHERE SUCH OFFER OR SOLICITATION WOULD BE UNLAWFUL.</w:t>
      </w:r>
    </w:p>
    <w:p>
      <w:pPr>
        <w:spacing w:after="120" w:line="360" w:lineRule="auto"/>
        <w:jc w:val="both"/>
      </w:pPr>
      <w:r>
        <w:t xml:space="preserve">These securities have not been registered under the Securities Act of 1933 or any state securities laws. They are being offered under an exemption from registration. The SEC has not passed upon the merits of or given its approval to the securities offered, the terms of the offering, or the accuracy of this memorandum.</w:t>
      </w:r>
    </w:p>
    <w:p>
      <w:pPr>
        <w:spacing w:after="120" w:line="360" w:lineRule="auto"/>
        <w:jc w:val="both"/>
      </w:pPr>
      <w:r>
        <w:t xml:space="preserve">NO PERSON HAS BEEN AUTHORIZED TO GIVE ANY INFORMATION OR TO MAKE ANY REPRESENTATION NOT CONTAINED IN THIS MEMORANDUM.</w:t>
      </w:r>
    </w:p>
    <w:p>
      <w:pPr>
        <w:spacing w:after="120" w:line="360" w:lineRule="auto"/>
      </w:pPr>
    </w:p>
    <w:p>
      <w:pPr>
        <w:spacing w:after="120" w:line="360" w:lineRule="auto"/>
        <w:jc w:val="both"/>
      </w:pPr>
      <w:r>
        <w:t xml:space="preserve">TEMPLATE NOTICE: This document must be reviewed by a qualified securities attorney before use.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CCCC" w:space="1"/>
      </w:pBdr>
      <w:jc w:val="center"/>
    </w:pPr>
    <w:r>
      <w:t xml:space="preserve">Predictive Alpha Fund, LLC — Private Placement Memorandum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2026-03-05T22:02:32.621Z</dcterms:created>
  <dcterms:modified xsi:type="dcterms:W3CDTF">2026-03-05T22:02:32.621Z</dcterms:modified>
</cp:coreProperties>
</file>

<file path=docProps/custom.xml><?xml version="1.0" encoding="utf-8"?>
<Properties xmlns="http://schemas.openxmlformats.org/officeDocument/2006/custom-properties" xmlns:vt="http://schemas.openxmlformats.org/officeDocument/2006/docPropsVTypes"/>
</file>