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00"/>
      </w:pPr>
    </w:p>
    <w:p>
      <w:pPr>
        <w:spacing w:line="400"/>
      </w:pPr>
    </w:p>
    <w:p>
      <w:pPr>
        <w:spacing w:line="240"/>
        <w:jc w:val="center"/>
      </w:pPr>
      <w:r>
        <w:t xml:space="preserve">Predictive Alpha Fund</w:t>
      </w:r>
    </w:p>
    <w:p>
      <w:pPr>
        <w:spacing w:line="240"/>
        <w:jc w:val="center"/>
      </w:pPr>
      <w:r>
        <w:t xml:space="preserve">Quarterly Performance Report</w:t>
      </w:r>
    </w:p>
    <w:p>
      <w:pPr>
        <w:spacing w:line="240"/>
      </w:pPr>
    </w:p>
    <w:p>
      <w:pPr>
        <w:spacing w:line="240"/>
        <w:jc w:val="center"/>
      </w:pPr>
      <w:r>
        <w:t xml:space="preserve">Q1 2026</w:t>
      </w:r>
    </w:p>
    <w:p>
      <w:pPr>
        <w:spacing w:line="240"/>
        <w:jc w:val="center"/>
      </w:pPr>
      <w:r>
        <w:t xml:space="preserve">January 1 – March 31, 2026</w:t>
      </w:r>
    </w:p>
    <w:p>
      <w:pPr>
        <w:spacing w:line="400"/>
      </w:pPr>
    </w:p>
    <w:p>
      <w:pPr>
        <w:spacing w:line="400"/>
      </w:pPr>
    </w:p>
    <w:p>
      <w:pPr>
        <w:spacing w:line="240"/>
        <w:jc w:val="center"/>
      </w:pPr>
      <w:r>
        <w:t xml:space="preserve">CONFIDENTIAL — For Investor Use Only</w:t>
      </w:r>
    </w:p>
    <w:r>
      <w:br w:type="page"/>
    </w:r>
    <w:p>
      <w:pPr>
        <w:spacing w:after="200" w:line="240"/>
      </w:pPr>
      <w:r>
        <w:t xml:space="preserve">EXECUTIVE SUMMARY</w:t>
      </w:r>
    </w:p>
    <w:p>
      <w:pPr>
        <w:spacing w:after="300" w:line="240"/>
      </w:pPr>
      <w:r>
        <w:t xml:space="preserve">[Quarter summary: Describe key highlights, overall performance, and notable events from Q1 2026. Include a brief narrative on trading activity, major wins, challenges faced, and strategic positioning going forward.]</w:t>
      </w:r>
    </w:p>
    <w:p>
      <w:pPr>
        <w:spacing w:after="200" w:line="240"/>
      </w:pPr>
      <w:r>
        <w:t xml:space="preserve">Key Financial Metrics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ADD8E6" w:val="clear"/>
            <w:tcMar>
              <w:top w:type="dxa" w:w="100"/>
              <w:left w:type="dxa" w:w="100"/>
              <w:bottom w:type="dxa" w:w="100"/>
              <w:right w:type="dxa" w:w="100"/>
            </w:tcMar>
            <w:vAlign w:val="center"/>
          </w:tcPr>
          <w:p>
            <w:pPr>
              <w:jc w:val="center"/>
            </w:pPr>
            <w:r>
              <w:t xml:space="preserve">Metric</w:t>
            </w:r>
          </w:p>
        </w:tc>
        <w:tc>
          <w:tcPr>
            <w:shd w:fill="ADD8E6" w:val="clear"/>
            <w:tcMar>
              <w:top w:type="dxa" w:w="100"/>
              <w:left w:type="dxa" w:w="100"/>
              <w:bottom w:type="dxa" w:w="100"/>
              <w:right w:type="dxa" w:w="100"/>
            </w:tcMar>
            <w:vAlign w:val="center"/>
          </w:tcPr>
          <w:p>
            <w:pPr>
              <w:jc w:val="center"/>
            </w:pPr>
            <w:r>
              <w:t xml:space="preserve">Value</w:t>
            </w:r>
          </w:p>
        </w:tc>
      </w:tr>
      <w:tr>
        <w:tc>
          <w:tcPr>
            <w:tcMar>
              <w:top w:type="dxa" w:w="100"/>
              <w:left w:type="dxa" w:w="100"/>
              <w:bottom w:type="dxa" w:w="100"/>
              <w:right w:type="dxa" w:w="100"/>
            </w:tcMar>
            <w:vAlign w:val="center"/>
          </w:tcPr>
          <w:p>
            <w:pPr>
              <w:jc w:val="left"/>
            </w:pPr>
            <w:r>
              <w:t xml:space="preserve">Starting NAV (January 1, 2026)</w:t>
            </w:r>
          </w:p>
        </w:tc>
        <w:tc>
          <w:tcPr>
            <w:tcMar>
              <w:top w:type="dxa" w:w="100"/>
              <w:left w:type="dxa" w:w="100"/>
              <w:bottom w:type="dxa" w:w="100"/>
              <w:right w:type="dxa" w:w="100"/>
            </w:tcMar>
            <w:vAlign w:val="center"/>
          </w:tcPr>
          <w:p>
            <w:pPr>
              <w:jc w:val="left"/>
            </w:pPr>
            <w:r>
              <w:t xml:space="preserve">[PLACEHOLDER]</w:t>
            </w:r>
          </w:p>
        </w:tc>
      </w:tr>
      <w:tr>
        <w:tc>
          <w:tcPr>
            <w:shd w:fill="F5F5F5" w:val="clear"/>
            <w:tcMar>
              <w:top w:type="dxa" w:w="100"/>
              <w:left w:type="dxa" w:w="100"/>
              <w:bottom w:type="dxa" w:w="100"/>
              <w:right w:type="dxa" w:w="100"/>
            </w:tcMar>
            <w:vAlign w:val="center"/>
          </w:tcPr>
          <w:p>
            <w:pPr>
              <w:jc w:val="left"/>
            </w:pPr>
            <w:r>
              <w:t xml:space="preserve">Ending NAV (March 31, 2026)</w:t>
            </w:r>
          </w:p>
        </w:tc>
        <w:tc>
          <w:tcPr>
            <w:shd w:fill="F5F5F5" w:val="clear"/>
            <w:tcMar>
              <w:top w:type="dxa" w:w="100"/>
              <w:left w:type="dxa" w:w="100"/>
              <w:bottom w:type="dxa" w:w="100"/>
              <w:right w:type="dxa" w:w="100"/>
            </w:tcMar>
            <w:vAlign w:val="center"/>
          </w:tcPr>
          <w:p>
            <w:pPr>
              <w:jc w:val="left"/>
            </w:pPr>
            <w:r>
              <w:t xml:space="preserve">[PLACEHOLDER]</w:t>
            </w:r>
          </w:p>
        </w:tc>
      </w:tr>
      <w:tr>
        <w:tc>
          <w:tcPr>
            <w:tcMar>
              <w:top w:type="dxa" w:w="100"/>
              <w:left w:type="dxa" w:w="100"/>
              <w:bottom w:type="dxa" w:w="100"/>
              <w:right w:type="dxa" w:w="100"/>
            </w:tcMar>
            <w:vAlign w:val="center"/>
          </w:tcPr>
          <w:p>
            <w:pPr>
              <w:jc w:val="left"/>
            </w:pPr>
            <w:r>
              <w:t xml:space="preserve">Quarterly Return %</w:t>
            </w:r>
          </w:p>
        </w:tc>
        <w:tc>
          <w:tcPr>
            <w:tcMar>
              <w:top w:type="dxa" w:w="100"/>
              <w:left w:type="dxa" w:w="100"/>
              <w:bottom w:type="dxa" w:w="100"/>
              <w:right w:type="dxa" w:w="100"/>
            </w:tcMar>
            <w:vAlign w:val="center"/>
          </w:tcPr>
          <w:p>
            <w:pPr>
              <w:jc w:val="left"/>
            </w:pPr>
            <w:r>
              <w:t xml:space="preserve">[PLACEHOLDER]</w:t>
            </w:r>
          </w:p>
        </w:tc>
      </w:tr>
      <w:tr>
        <w:tc>
          <w:tcPr>
            <w:shd w:fill="F5F5F5" w:val="clear"/>
            <w:tcMar>
              <w:top w:type="dxa" w:w="100"/>
              <w:left w:type="dxa" w:w="100"/>
              <w:bottom w:type="dxa" w:w="100"/>
              <w:right w:type="dxa" w:w="100"/>
            </w:tcMar>
            <w:vAlign w:val="center"/>
          </w:tcPr>
          <w:p>
            <w:pPr>
              <w:jc w:val="left"/>
            </w:pPr>
            <w:r>
              <w:t xml:space="preserve">YTD Return %</w:t>
            </w:r>
          </w:p>
        </w:tc>
        <w:tc>
          <w:tcPr>
            <w:shd w:fill="F5F5F5" w:val="clear"/>
            <w:tcMar>
              <w:top w:type="dxa" w:w="100"/>
              <w:left w:type="dxa" w:w="100"/>
              <w:bottom w:type="dxa" w:w="100"/>
              <w:right w:type="dxa" w:w="100"/>
            </w:tcMar>
            <w:vAlign w:val="center"/>
          </w:tcPr>
          <w:p>
            <w:pPr>
              <w:jc w:val="left"/>
            </w:pPr>
            <w:r>
              <w:t xml:space="preserve">[PLACEHOLDER]</w:t>
            </w:r>
          </w:p>
        </w:tc>
      </w:tr>
    </w:tbl>
    <w:r>
      <w:br w:type="page"/>
    </w:r>
    <w:p>
      <w:pPr>
        <w:spacing w:after="200" w:line="240"/>
      </w:pPr>
      <w:r>
        <w:t xml:space="preserve">PERFORMANCE METRICS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ADD8E6" w:val="clear"/>
            <w:tcMar>
              <w:top w:type="dxa" w:w="100"/>
              <w:left w:type="dxa" w:w="100"/>
              <w:bottom w:type="dxa" w:w="100"/>
              <w:right w:type="dxa" w:w="100"/>
            </w:tcMar>
            <w:vAlign w:val="center"/>
          </w:tcPr>
          <w:p>
            <w:pPr>
              <w:jc w:val="center"/>
            </w:pPr>
            <w:r>
              <w:t xml:space="preserve">Metric</w:t>
            </w:r>
          </w:p>
        </w:tc>
        <w:tc>
          <w:tcPr>
            <w:shd w:fill="ADD8E6" w:val="clear"/>
            <w:tcMar>
              <w:top w:type="dxa" w:w="100"/>
              <w:left w:type="dxa" w:w="100"/>
              <w:bottom w:type="dxa" w:w="100"/>
              <w:right w:type="dxa" w:w="100"/>
            </w:tcMar>
            <w:vAlign w:val="center"/>
          </w:tcPr>
          <w:p>
            <w:pPr>
              <w:jc w:val="center"/>
            </w:pPr>
            <w:r>
              <w:t xml:space="preserve">Value</w:t>
            </w:r>
          </w:p>
        </w:tc>
      </w:tr>
      <w:tr>
        <w:tc>
          <w:tcPr>
            <w:tcMar>
              <w:top w:type="dxa" w:w="100"/>
              <w:left w:type="dxa" w:w="100"/>
              <w:bottom w:type="dxa" w:w="100"/>
              <w:right w:type="dxa" w:w="100"/>
            </w:tcMar>
            <w:vAlign w:val="center"/>
          </w:tcPr>
          <w:p>
            <w:pPr>
              <w:jc w:val="left"/>
            </w:pPr>
            <w:r>
              <w:t xml:space="preserve">Win Rate</w:t>
            </w:r>
          </w:p>
        </w:tc>
        <w:tc>
          <w:tcPr>
            <w:tcMar>
              <w:top w:type="dxa" w:w="100"/>
              <w:left w:type="dxa" w:w="100"/>
              <w:bottom w:type="dxa" w:w="100"/>
              <w:right w:type="dxa" w:w="100"/>
            </w:tcMar>
            <w:vAlign w:val="center"/>
          </w:tcPr>
          <w:p>
            <w:pPr>
              <w:jc w:val="left"/>
            </w:pPr>
            <w:r>
              <w:t xml:space="preserve">[XX.X%]</w:t>
            </w:r>
          </w:p>
        </w:tc>
      </w:tr>
      <w:tr>
        <w:tc>
          <w:tcPr>
            <w:shd w:fill="F5F5F5" w:val="clear"/>
            <w:tcMar>
              <w:top w:type="dxa" w:w="100"/>
              <w:left w:type="dxa" w:w="100"/>
              <w:bottom w:type="dxa" w:w="100"/>
              <w:right w:type="dxa" w:w="100"/>
            </w:tcMar>
            <w:vAlign w:val="center"/>
          </w:tcPr>
          <w:p>
            <w:pPr>
              <w:jc w:val="left"/>
            </w:pPr>
            <w:r>
              <w:t xml:space="preserve">Total Trades</w:t>
            </w:r>
          </w:p>
        </w:tc>
        <w:tc>
          <w:tcPr>
            <w:shd w:fill="F5F5F5" w:val="clear"/>
            <w:tcMar>
              <w:top w:type="dxa" w:w="100"/>
              <w:left w:type="dxa" w:w="100"/>
              <w:bottom w:type="dxa" w:w="100"/>
              <w:right w:type="dxa" w:w="100"/>
            </w:tcMar>
            <w:vAlign w:val="center"/>
          </w:tcPr>
          <w:p>
            <w:pPr>
              <w:jc w:val="left"/>
            </w:pPr>
            <w:r>
              <w:t xml:space="preserve">[XXX]</w:t>
            </w:r>
          </w:p>
        </w:tc>
      </w:tr>
      <w:tr>
        <w:tc>
          <w:tcPr>
            <w:tcMar>
              <w:top w:type="dxa" w:w="100"/>
              <w:left w:type="dxa" w:w="100"/>
              <w:bottom w:type="dxa" w:w="100"/>
              <w:right w:type="dxa" w:w="100"/>
            </w:tcMar>
            <w:vAlign w:val="center"/>
          </w:tcPr>
          <w:p>
            <w:pPr>
              <w:jc w:val="left"/>
            </w:pPr>
            <w:r>
              <w:t xml:space="preserve">Winning Trades</w:t>
            </w:r>
          </w:p>
        </w:tc>
        <w:tc>
          <w:tcPr>
            <w:tcMar>
              <w:top w:type="dxa" w:w="100"/>
              <w:left w:type="dxa" w:w="100"/>
              <w:bottom w:type="dxa" w:w="100"/>
              <w:right w:type="dxa" w:w="100"/>
            </w:tcMar>
            <w:vAlign w:val="center"/>
          </w:tcPr>
          <w:p>
            <w:pPr>
              <w:jc w:val="left"/>
            </w:pPr>
            <w:r>
              <w:t xml:space="preserve">[XXX]</w:t>
            </w:r>
          </w:p>
        </w:tc>
      </w:tr>
      <w:tr>
        <w:tc>
          <w:tcPr>
            <w:shd w:fill="F5F5F5" w:val="clear"/>
            <w:tcMar>
              <w:top w:type="dxa" w:w="100"/>
              <w:left w:type="dxa" w:w="100"/>
              <w:bottom w:type="dxa" w:w="100"/>
              <w:right w:type="dxa" w:w="100"/>
            </w:tcMar>
            <w:vAlign w:val="center"/>
          </w:tcPr>
          <w:p>
            <w:pPr>
              <w:jc w:val="left"/>
            </w:pPr>
            <w:r>
              <w:t xml:space="preserve">Losing Trades</w:t>
            </w:r>
          </w:p>
        </w:tc>
        <w:tc>
          <w:tcPr>
            <w:shd w:fill="F5F5F5" w:val="clear"/>
            <w:tcMar>
              <w:top w:type="dxa" w:w="100"/>
              <w:left w:type="dxa" w:w="100"/>
              <w:bottom w:type="dxa" w:w="100"/>
              <w:right w:type="dxa" w:w="100"/>
            </w:tcMar>
            <w:vAlign w:val="center"/>
          </w:tcPr>
          <w:p>
            <w:pPr>
              <w:jc w:val="left"/>
            </w:pPr>
            <w:r>
              <w:t xml:space="preserve">[XXX]</w:t>
            </w:r>
          </w:p>
        </w:tc>
      </w:tr>
      <w:tr>
        <w:tc>
          <w:tcPr>
            <w:tcMar>
              <w:top w:type="dxa" w:w="100"/>
              <w:left w:type="dxa" w:w="100"/>
              <w:bottom w:type="dxa" w:w="100"/>
              <w:right w:type="dxa" w:w="100"/>
            </w:tcMar>
            <w:vAlign w:val="center"/>
          </w:tcPr>
          <w:p>
            <w:pPr>
              <w:jc w:val="left"/>
            </w:pPr>
            <w:r>
              <w:t xml:space="preserve">Gross P&amp;L</w:t>
            </w:r>
          </w:p>
        </w:tc>
        <w:tc>
          <w:tcPr>
            <w:tcMar>
              <w:top w:type="dxa" w:w="100"/>
              <w:left w:type="dxa" w:w="100"/>
              <w:bottom w:type="dxa" w:w="100"/>
              <w:right w:type="dxa" w:w="100"/>
            </w:tcMar>
            <w:vAlign w:val="center"/>
          </w:tcPr>
          <w:p>
            <w:pPr>
              <w:jc w:val="left"/>
            </w:pPr>
            <w:r>
              <w:t xml:space="preserve">[$X,XXX]</w:t>
            </w:r>
          </w:p>
        </w:tc>
      </w:tr>
      <w:tr>
        <w:tc>
          <w:tcPr>
            <w:shd w:fill="F5F5F5" w:val="clear"/>
            <w:tcMar>
              <w:top w:type="dxa" w:w="100"/>
              <w:left w:type="dxa" w:w="100"/>
              <w:bottom w:type="dxa" w:w="100"/>
              <w:right w:type="dxa" w:w="100"/>
            </w:tcMar>
            <w:vAlign w:val="center"/>
          </w:tcPr>
          <w:p>
            <w:pPr>
              <w:jc w:val="left"/>
            </w:pPr>
            <w:r>
              <w:t xml:space="preserve">Net P&amp;L (after fees)</w:t>
            </w:r>
          </w:p>
        </w:tc>
        <w:tc>
          <w:tcPr>
            <w:shd w:fill="F5F5F5" w:val="clear"/>
            <w:tcMar>
              <w:top w:type="dxa" w:w="100"/>
              <w:left w:type="dxa" w:w="100"/>
              <w:bottom w:type="dxa" w:w="100"/>
              <w:right w:type="dxa" w:w="100"/>
            </w:tcMar>
            <w:vAlign w:val="center"/>
          </w:tcPr>
          <w:p>
            <w:pPr>
              <w:jc w:val="left"/>
            </w:pPr>
            <w:r>
              <w:t xml:space="preserve">[$X,XXX]</w:t>
            </w:r>
          </w:p>
        </w:tc>
      </w:tr>
      <w:tr>
        <w:tc>
          <w:tcPr>
            <w:tcMar>
              <w:top w:type="dxa" w:w="100"/>
              <w:left w:type="dxa" w:w="100"/>
              <w:bottom w:type="dxa" w:w="100"/>
              <w:right w:type="dxa" w:w="100"/>
            </w:tcMar>
            <w:vAlign w:val="center"/>
          </w:tcPr>
          <w:p>
            <w:pPr>
              <w:jc w:val="left"/>
            </w:pPr>
            <w:r>
              <w:t xml:space="preserve">Quarterly Return</w:t>
            </w:r>
          </w:p>
        </w:tc>
        <w:tc>
          <w:tcPr>
            <w:tcMar>
              <w:top w:type="dxa" w:w="100"/>
              <w:left w:type="dxa" w:w="100"/>
              <w:bottom w:type="dxa" w:w="100"/>
              <w:right w:type="dxa" w:w="100"/>
            </w:tcMar>
            <w:vAlign w:val="center"/>
          </w:tcPr>
          <w:p>
            <w:pPr>
              <w:jc w:val="left"/>
            </w:pPr>
            <w:r>
              <w:t xml:space="preserve">[XX.X%]</w:t>
            </w:r>
          </w:p>
        </w:tc>
      </w:tr>
      <w:tr>
        <w:tc>
          <w:tcPr>
            <w:shd w:fill="F5F5F5" w:val="clear"/>
            <w:tcMar>
              <w:top w:type="dxa" w:w="100"/>
              <w:left w:type="dxa" w:w="100"/>
              <w:bottom w:type="dxa" w:w="100"/>
              <w:right w:type="dxa" w:w="100"/>
            </w:tcMar>
            <w:vAlign w:val="center"/>
          </w:tcPr>
          <w:p>
            <w:pPr>
              <w:jc w:val="left"/>
            </w:pPr>
            <w:r>
              <w:t xml:space="preserve">Annualized Return Rate</w:t>
            </w:r>
          </w:p>
        </w:tc>
        <w:tc>
          <w:tcPr>
            <w:shd w:fill="F5F5F5" w:val="clear"/>
            <w:tcMar>
              <w:top w:type="dxa" w:w="100"/>
              <w:left w:type="dxa" w:w="100"/>
              <w:bottom w:type="dxa" w:w="100"/>
              <w:right w:type="dxa" w:w="100"/>
            </w:tcMar>
            <w:vAlign w:val="center"/>
          </w:tcPr>
          <w:p>
            <w:pPr>
              <w:jc w:val="left"/>
            </w:pPr>
            <w:r>
              <w:t xml:space="preserve">[XXX%]</w:t>
            </w:r>
          </w:p>
        </w:tc>
      </w:tr>
      <w:tr>
        <w:tc>
          <w:tcPr>
            <w:tcMar>
              <w:top w:type="dxa" w:w="100"/>
              <w:left w:type="dxa" w:w="100"/>
              <w:bottom w:type="dxa" w:w="100"/>
              <w:right w:type="dxa" w:w="100"/>
            </w:tcMar>
            <w:vAlign w:val="center"/>
          </w:tcPr>
          <w:p>
            <w:pPr>
              <w:jc w:val="left"/>
            </w:pPr>
            <w:r>
              <w:t xml:space="preserve">Sharpe-Equivalent Ratio</w:t>
            </w:r>
          </w:p>
        </w:tc>
        <w:tc>
          <w:tcPr>
            <w:tcMar>
              <w:top w:type="dxa" w:w="100"/>
              <w:left w:type="dxa" w:w="100"/>
              <w:bottom w:type="dxa" w:w="100"/>
              <w:right w:type="dxa" w:w="100"/>
            </w:tcMar>
            <w:vAlign w:val="center"/>
          </w:tcPr>
          <w:p>
            <w:pPr>
              <w:jc w:val="left"/>
            </w:pPr>
            <w:r>
              <w:t xml:space="preserve">[X.XX]</w:t>
            </w:r>
          </w:p>
        </w:tc>
      </w:tr>
      <w:tr>
        <w:tc>
          <w:tcPr>
            <w:shd w:fill="F5F5F5" w:val="clear"/>
            <w:tcMar>
              <w:top w:type="dxa" w:w="100"/>
              <w:left w:type="dxa" w:w="100"/>
              <w:bottom w:type="dxa" w:w="100"/>
              <w:right w:type="dxa" w:w="100"/>
            </w:tcMar>
            <w:vAlign w:val="center"/>
          </w:tcPr>
          <w:p>
            <w:pPr>
              <w:jc w:val="left"/>
            </w:pPr>
            <w:r>
              <w:t xml:space="preserve">Average Profit per Trade</w:t>
            </w:r>
          </w:p>
        </w:tc>
        <w:tc>
          <w:tcPr>
            <w:shd w:fill="F5F5F5" w:val="clear"/>
            <w:tcMar>
              <w:top w:type="dxa" w:w="100"/>
              <w:left w:type="dxa" w:w="100"/>
              <w:bottom w:type="dxa" w:w="100"/>
              <w:right w:type="dxa" w:w="100"/>
            </w:tcMar>
            <w:vAlign w:val="center"/>
          </w:tcPr>
          <w:p>
            <w:pPr>
              <w:jc w:val="left"/>
            </w:pPr>
            <w:r>
              <w:t xml:space="preserve">[$X.XX]</w:t>
            </w:r>
          </w:p>
        </w:tc>
      </w:tr>
      <w:tr>
        <w:tc>
          <w:tcPr>
            <w:tcMar>
              <w:top w:type="dxa" w:w="100"/>
              <w:left w:type="dxa" w:w="100"/>
              <w:bottom w:type="dxa" w:w="100"/>
              <w:right w:type="dxa" w:w="100"/>
            </w:tcMar>
            <w:vAlign w:val="center"/>
          </w:tcPr>
          <w:p>
            <w:pPr>
              <w:jc w:val="left"/>
            </w:pPr>
            <w:r>
              <w:t xml:space="preserve">Average Trade Size</w:t>
            </w:r>
          </w:p>
        </w:tc>
        <w:tc>
          <w:tcPr>
            <w:tcMar>
              <w:top w:type="dxa" w:w="100"/>
              <w:left w:type="dxa" w:w="100"/>
              <w:bottom w:type="dxa" w:w="100"/>
              <w:right w:type="dxa" w:w="100"/>
            </w:tcMar>
            <w:vAlign w:val="center"/>
          </w:tcPr>
          <w:p>
            <w:pPr>
              <w:jc w:val="left"/>
            </w:pPr>
            <w:r>
              <w:t xml:space="preserve">[$X.XX]</w:t>
            </w:r>
          </w:p>
        </w:tc>
      </w:tr>
    </w:tbl>
    <w:r>
      <w:br w:type="page"/>
    </w:r>
    <w:p>
      <w:pPr>
        <w:spacing w:after="200" w:line="240"/>
      </w:pPr>
      <w:r>
        <w:t xml:space="preserve">PORTFOLIO COMPOSITION</w:t>
      </w:r>
    </w:p>
    <w:p>
      <w:pPr>
        <w:spacing w:after="100" w:line="240"/>
      </w:pPr>
      <w:r>
        <w:t xml:space="preserve">Portfolio Overview</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ADD8E6" w:val="clear"/>
            <w:tcMar>
              <w:top w:type="dxa" w:w="100"/>
              <w:left w:type="dxa" w:w="100"/>
              <w:bottom w:type="dxa" w:w="100"/>
              <w:right w:type="dxa" w:w="100"/>
            </w:tcMar>
            <w:vAlign w:val="center"/>
          </w:tcPr>
          <w:p>
            <w:pPr>
              <w:jc w:val="center"/>
            </w:pPr>
            <w:r>
              <w:t xml:space="preserve">Metric</w:t>
            </w:r>
          </w:p>
        </w:tc>
        <w:tc>
          <w:tcPr>
            <w:shd w:fill="ADD8E6" w:val="clear"/>
            <w:tcMar>
              <w:top w:type="dxa" w:w="100"/>
              <w:left w:type="dxa" w:w="100"/>
              <w:bottom w:type="dxa" w:w="100"/>
              <w:right w:type="dxa" w:w="100"/>
            </w:tcMar>
            <w:vAlign w:val="center"/>
          </w:tcPr>
          <w:p>
            <w:pPr>
              <w:jc w:val="center"/>
            </w:pPr>
            <w:r>
              <w:t xml:space="preserve">Value</w:t>
            </w:r>
          </w:p>
        </w:tc>
      </w:tr>
      <w:tr>
        <w:tc>
          <w:tcPr>
            <w:tcMar>
              <w:top w:type="dxa" w:w="100"/>
              <w:left w:type="dxa" w:w="100"/>
              <w:bottom w:type="dxa" w:w="100"/>
              <w:right w:type="dxa" w:w="100"/>
            </w:tcMar>
            <w:vAlign w:val="center"/>
          </w:tcPr>
          <w:p>
            <w:pPr>
              <w:jc w:val="left"/>
            </w:pPr>
            <w:r>
              <w:t xml:space="preserve">Number of Active Positions</w:t>
            </w:r>
          </w:p>
        </w:tc>
        <w:tc>
          <w:tcPr>
            <w:tcMar>
              <w:top w:type="dxa" w:w="100"/>
              <w:left w:type="dxa" w:w="100"/>
              <w:bottom w:type="dxa" w:w="100"/>
              <w:right w:type="dxa" w:w="100"/>
            </w:tcMar>
            <w:vAlign w:val="center"/>
          </w:tcPr>
          <w:p>
            <w:pPr>
              <w:jc w:val="left"/>
            </w:pPr>
            <w:r>
              <w:t xml:space="preserve">[XX]</w:t>
            </w:r>
          </w:p>
        </w:tc>
      </w:tr>
      <w:tr>
        <w:tc>
          <w:tcPr>
            <w:shd w:fill="F5F5F5" w:val="clear"/>
            <w:tcMar>
              <w:top w:type="dxa" w:w="100"/>
              <w:left w:type="dxa" w:w="100"/>
              <w:bottom w:type="dxa" w:w="100"/>
              <w:right w:type="dxa" w:w="100"/>
            </w:tcMar>
            <w:vAlign w:val="center"/>
          </w:tcPr>
          <w:p>
            <w:pPr>
              <w:jc w:val="left"/>
            </w:pPr>
            <w:r>
              <w:t xml:space="preserve">Number of Resolved Positions</w:t>
            </w:r>
          </w:p>
        </w:tc>
        <w:tc>
          <w:tcPr>
            <w:shd w:fill="F5F5F5" w:val="clear"/>
            <w:tcMar>
              <w:top w:type="dxa" w:w="100"/>
              <w:left w:type="dxa" w:w="100"/>
              <w:bottom w:type="dxa" w:w="100"/>
              <w:right w:type="dxa" w:w="100"/>
            </w:tcMar>
            <w:vAlign w:val="center"/>
          </w:tcPr>
          <w:p>
            <w:pPr>
              <w:jc w:val="left"/>
            </w:pPr>
            <w:r>
              <w:t xml:space="preserve">[XX]</w:t>
            </w:r>
          </w:p>
        </w:tc>
      </w:tr>
      <w:tr>
        <w:tc>
          <w:tcPr>
            <w:tcMar>
              <w:top w:type="dxa" w:w="100"/>
              <w:left w:type="dxa" w:w="100"/>
              <w:bottom w:type="dxa" w:w="100"/>
              <w:right w:type="dxa" w:w="100"/>
            </w:tcMar>
            <w:vAlign w:val="center"/>
          </w:tcPr>
          <w:p>
            <w:pPr>
              <w:jc w:val="left"/>
            </w:pPr>
            <w:r>
              <w:t xml:space="preserve">Average Position Size</w:t>
            </w:r>
          </w:p>
        </w:tc>
        <w:tc>
          <w:tcPr>
            <w:tcMar>
              <w:top w:type="dxa" w:w="100"/>
              <w:left w:type="dxa" w:w="100"/>
              <w:bottom w:type="dxa" w:w="100"/>
              <w:right w:type="dxa" w:w="100"/>
            </w:tcMar>
            <w:vAlign w:val="center"/>
          </w:tcPr>
          <w:p>
            <w:pPr>
              <w:jc w:val="left"/>
            </w:pPr>
            <w:r>
              <w:t xml:space="preserve">[$XX]</w:t>
            </w:r>
          </w:p>
        </w:tc>
      </w:tr>
    </w:tbl>
    <w:p>
      <w:pPr>
        <w:spacing w:line="200"/>
      </w:pPr>
    </w:p>
    <w:p>
      <w:pPr>
        <w:spacing w:after="100" w:line="240"/>
      </w:pPr>
      <w:r>
        <w:t xml:space="preserve">Top Trading Categories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ADD8E6" w:val="clear"/>
            <w:tcMar>
              <w:top w:type="dxa" w:w="100"/>
              <w:left w:type="dxa" w:w="100"/>
              <w:bottom w:type="dxa" w:w="100"/>
              <w:right w:type="dxa" w:w="100"/>
            </w:tcMar>
            <w:vAlign w:val="center"/>
          </w:tcPr>
          <w:p>
            <w:pPr>
              <w:jc w:val="center"/>
            </w:pPr>
            <w:r>
              <w:t xml:space="preserve">Category</w:t>
            </w:r>
          </w:p>
        </w:tc>
        <w:tc>
          <w:tcPr>
            <w:shd w:fill="ADD8E6" w:val="clear"/>
            <w:tcMar>
              <w:top w:type="dxa" w:w="100"/>
              <w:left w:type="dxa" w:w="100"/>
              <w:bottom w:type="dxa" w:w="100"/>
              <w:right w:type="dxa" w:w="100"/>
            </w:tcMar>
            <w:vAlign w:val="center"/>
          </w:tcPr>
          <w:p>
            <w:pPr>
              <w:jc w:val="center"/>
            </w:pPr>
            <w:r>
              <w:t xml:space="preserve"># Trades</w:t>
            </w:r>
          </w:p>
        </w:tc>
        <w:tc>
          <w:tcPr>
            <w:shd w:fill="ADD8E6" w:val="clear"/>
            <w:tcMar>
              <w:top w:type="dxa" w:w="100"/>
              <w:left w:type="dxa" w:w="100"/>
              <w:bottom w:type="dxa" w:w="100"/>
              <w:right w:type="dxa" w:w="100"/>
            </w:tcMar>
            <w:vAlign w:val="center"/>
          </w:tcPr>
          <w:p>
            <w:pPr>
              <w:jc w:val="center"/>
            </w:pPr>
            <w:r>
              <w:t xml:space="preserve">Win Rate</w:t>
            </w:r>
          </w:p>
        </w:tc>
        <w:tc>
          <w:tcPr>
            <w:shd w:fill="ADD8E6" w:val="clear"/>
            <w:tcMar>
              <w:top w:type="dxa" w:w="100"/>
              <w:left w:type="dxa" w:w="100"/>
              <w:bottom w:type="dxa" w:w="100"/>
              <w:right w:type="dxa" w:w="100"/>
            </w:tcMar>
            <w:vAlign w:val="center"/>
          </w:tcPr>
          <w:p>
            <w:pPr>
              <w:jc w:val="center"/>
            </w:pPr>
            <w:r>
              <w:t xml:space="preserve">P&amp;L</w:t>
            </w:r>
          </w:p>
        </w:tc>
      </w:tr>
      <w:tr>
        <w:tc>
          <w:tcPr>
            <w:tcMar>
              <w:top w:type="dxa" w:w="100"/>
              <w:left w:type="dxa" w:w="100"/>
              <w:bottom w:type="dxa" w:w="100"/>
              <w:right w:type="dxa" w:w="100"/>
            </w:tcMar>
            <w:vAlign w:val="center"/>
          </w:tcPr>
          <w:p>
            <w:pPr>
              <w:jc w:val="left"/>
            </w:pPr>
            <w:r>
              <w:t xml:space="preserve">Politics</w:t>
            </w:r>
          </w:p>
        </w:tc>
        <w:tc>
          <w:tcPr>
            <w:tcMar>
              <w:top w:type="dxa" w:w="100"/>
              <w:left w:type="dxa" w:w="100"/>
              <w:bottom w:type="dxa" w:w="100"/>
              <w:right w:type="dxa" w:w="100"/>
            </w:tcMar>
            <w:vAlign w:val="center"/>
          </w:tcPr>
          <w:p>
            <w:pPr>
              <w:jc w:val="left"/>
            </w:pPr>
            <w:r>
              <w:t xml:space="preserve">[XX]</w:t>
            </w:r>
          </w:p>
        </w:tc>
        <w:tc>
          <w:tcPr>
            <w:tcMar>
              <w:top w:type="dxa" w:w="100"/>
              <w:left w:type="dxa" w:w="100"/>
              <w:bottom w:type="dxa" w:w="100"/>
              <w:right w:type="dxa" w:w="100"/>
            </w:tcMar>
            <w:vAlign w:val="center"/>
          </w:tcPr>
          <w:p>
            <w:pPr>
              <w:jc w:val="left"/>
            </w:pPr>
            <w:r>
              <w:t xml:space="preserve">[XX.X%]</w:t>
            </w:r>
          </w:p>
        </w:tc>
        <w:tc>
          <w:tcPr>
            <w:tcMar>
              <w:top w:type="dxa" w:w="100"/>
              <w:left w:type="dxa" w:w="100"/>
              <w:bottom w:type="dxa" w:w="100"/>
              <w:right w:type="dxa" w:w="100"/>
            </w:tcMar>
            <w:vAlign w:val="center"/>
          </w:tcPr>
          <w:p>
            <w:pPr>
              <w:jc w:val="left"/>
            </w:pPr>
            <w:r>
              <w:t xml:space="preserve">[$X,XXX]</w:t>
            </w:r>
          </w:p>
        </w:tc>
      </w:tr>
      <w:tr>
        <w:tc>
          <w:tcPr>
            <w:shd w:fill="F5F5F5" w:val="clear"/>
            <w:tcMar>
              <w:top w:type="dxa" w:w="100"/>
              <w:left w:type="dxa" w:w="100"/>
              <w:bottom w:type="dxa" w:w="100"/>
              <w:right w:type="dxa" w:w="100"/>
            </w:tcMar>
            <w:vAlign w:val="center"/>
          </w:tcPr>
          <w:p>
            <w:pPr>
              <w:jc w:val="left"/>
            </w:pPr>
            <w:r>
              <w:t xml:space="preserve">Sports</w:t>
            </w:r>
          </w:p>
        </w:tc>
        <w:tc>
          <w:tcPr>
            <w:shd w:fill="F5F5F5" w:val="clear"/>
            <w:tcMar>
              <w:top w:type="dxa" w:w="100"/>
              <w:left w:type="dxa" w:w="100"/>
              <w:bottom w:type="dxa" w:w="100"/>
              <w:right w:type="dxa" w:w="100"/>
            </w:tcMar>
            <w:vAlign w:val="center"/>
          </w:tcPr>
          <w:p>
            <w:pPr>
              <w:jc w:val="left"/>
            </w:pPr>
            <w:r>
              <w:t xml:space="preserve">[XX]</w:t>
            </w:r>
          </w:p>
        </w:tc>
        <w:tc>
          <w:tcPr>
            <w:shd w:fill="F5F5F5" w:val="clear"/>
            <w:tcMar>
              <w:top w:type="dxa" w:w="100"/>
              <w:left w:type="dxa" w:w="100"/>
              <w:bottom w:type="dxa" w:w="100"/>
              <w:right w:type="dxa" w:w="100"/>
            </w:tcMar>
            <w:vAlign w:val="center"/>
          </w:tcPr>
          <w:p>
            <w:pPr>
              <w:jc w:val="left"/>
            </w:pPr>
            <w:r>
              <w:t xml:space="preserve">[XX.X%]</w:t>
            </w:r>
          </w:p>
        </w:tc>
        <w:tc>
          <w:tcPr>
            <w:shd w:fill="F5F5F5" w:val="clear"/>
            <w:tcMar>
              <w:top w:type="dxa" w:w="100"/>
              <w:left w:type="dxa" w:w="100"/>
              <w:bottom w:type="dxa" w:w="100"/>
              <w:right w:type="dxa" w:w="100"/>
            </w:tcMar>
            <w:vAlign w:val="center"/>
          </w:tcPr>
          <w:p>
            <w:pPr>
              <w:jc w:val="left"/>
            </w:pPr>
            <w:r>
              <w:t xml:space="preserve">[$X,XXX]</w:t>
            </w:r>
          </w:p>
        </w:tc>
      </w:tr>
      <w:tr>
        <w:tc>
          <w:tcPr>
            <w:tcMar>
              <w:top w:type="dxa" w:w="100"/>
              <w:left w:type="dxa" w:w="100"/>
              <w:bottom w:type="dxa" w:w="100"/>
              <w:right w:type="dxa" w:w="100"/>
            </w:tcMar>
            <w:vAlign w:val="center"/>
          </w:tcPr>
          <w:p>
            <w:pPr>
              <w:jc w:val="left"/>
            </w:pPr>
            <w:r>
              <w:t xml:space="preserve">Crypto</w:t>
            </w:r>
          </w:p>
        </w:tc>
        <w:tc>
          <w:tcPr>
            <w:tcMar>
              <w:top w:type="dxa" w:w="100"/>
              <w:left w:type="dxa" w:w="100"/>
              <w:bottom w:type="dxa" w:w="100"/>
              <w:right w:type="dxa" w:w="100"/>
            </w:tcMar>
            <w:vAlign w:val="center"/>
          </w:tcPr>
          <w:p>
            <w:pPr>
              <w:jc w:val="left"/>
            </w:pPr>
            <w:r>
              <w:t xml:space="preserve">[XX]</w:t>
            </w:r>
          </w:p>
        </w:tc>
        <w:tc>
          <w:tcPr>
            <w:tcMar>
              <w:top w:type="dxa" w:w="100"/>
              <w:left w:type="dxa" w:w="100"/>
              <w:bottom w:type="dxa" w:w="100"/>
              <w:right w:type="dxa" w:w="100"/>
            </w:tcMar>
            <w:vAlign w:val="center"/>
          </w:tcPr>
          <w:p>
            <w:pPr>
              <w:jc w:val="left"/>
            </w:pPr>
            <w:r>
              <w:t xml:space="preserve">[XX.X%]</w:t>
            </w:r>
          </w:p>
        </w:tc>
        <w:tc>
          <w:tcPr>
            <w:tcMar>
              <w:top w:type="dxa" w:w="100"/>
              <w:left w:type="dxa" w:w="100"/>
              <w:bottom w:type="dxa" w:w="100"/>
              <w:right w:type="dxa" w:w="100"/>
            </w:tcMar>
            <w:vAlign w:val="center"/>
          </w:tcPr>
          <w:p>
            <w:pPr>
              <w:jc w:val="left"/>
            </w:pPr>
            <w:r>
              <w:t xml:space="preserve">[$X,XXX]</w:t>
            </w:r>
          </w:p>
        </w:tc>
      </w:tr>
      <w:tr>
        <w:tc>
          <w:tcPr>
            <w:shd w:fill="F5F5F5" w:val="clear"/>
            <w:tcMar>
              <w:top w:type="dxa" w:w="100"/>
              <w:left w:type="dxa" w:w="100"/>
              <w:bottom w:type="dxa" w:w="100"/>
              <w:right w:type="dxa" w:w="100"/>
            </w:tcMar>
            <w:vAlign w:val="center"/>
          </w:tcPr>
          <w:p>
            <w:pPr>
              <w:jc w:val="left"/>
            </w:pPr>
            <w:r>
              <w:t xml:space="preserve">Science/Tech</w:t>
            </w:r>
          </w:p>
        </w:tc>
        <w:tc>
          <w:tcPr>
            <w:shd w:fill="F5F5F5" w:val="clear"/>
            <w:tcMar>
              <w:top w:type="dxa" w:w="100"/>
              <w:left w:type="dxa" w:w="100"/>
              <w:bottom w:type="dxa" w:w="100"/>
              <w:right w:type="dxa" w:w="100"/>
            </w:tcMar>
            <w:vAlign w:val="center"/>
          </w:tcPr>
          <w:p>
            <w:pPr>
              <w:jc w:val="left"/>
            </w:pPr>
            <w:r>
              <w:t xml:space="preserve">[XX]</w:t>
            </w:r>
          </w:p>
        </w:tc>
        <w:tc>
          <w:tcPr>
            <w:shd w:fill="F5F5F5" w:val="clear"/>
            <w:tcMar>
              <w:top w:type="dxa" w:w="100"/>
              <w:left w:type="dxa" w:w="100"/>
              <w:bottom w:type="dxa" w:w="100"/>
              <w:right w:type="dxa" w:w="100"/>
            </w:tcMar>
            <w:vAlign w:val="center"/>
          </w:tcPr>
          <w:p>
            <w:pPr>
              <w:jc w:val="left"/>
            </w:pPr>
            <w:r>
              <w:t xml:space="preserve">[XX.X%]</w:t>
            </w:r>
          </w:p>
        </w:tc>
        <w:tc>
          <w:tcPr>
            <w:shd w:fill="F5F5F5" w:val="clear"/>
            <w:tcMar>
              <w:top w:type="dxa" w:w="100"/>
              <w:left w:type="dxa" w:w="100"/>
              <w:bottom w:type="dxa" w:w="100"/>
              <w:right w:type="dxa" w:w="100"/>
            </w:tcMar>
            <w:vAlign w:val="center"/>
          </w:tcPr>
          <w:p>
            <w:pPr>
              <w:jc w:val="left"/>
            </w:pPr>
            <w:r>
              <w:t xml:space="preserve">[$X,XXX]</w:t>
            </w:r>
          </w:p>
        </w:tc>
      </w:tr>
      <w:tr>
        <w:tc>
          <w:tcPr>
            <w:tcMar>
              <w:top w:type="dxa" w:w="100"/>
              <w:left w:type="dxa" w:w="100"/>
              <w:bottom w:type="dxa" w:w="100"/>
              <w:right w:type="dxa" w:w="100"/>
            </w:tcMar>
            <w:vAlign w:val="center"/>
          </w:tcPr>
          <w:p>
            <w:pPr>
              <w:jc w:val="left"/>
            </w:pPr>
            <w:r>
              <w:t xml:space="preserve">Economics</w:t>
            </w:r>
          </w:p>
        </w:tc>
        <w:tc>
          <w:tcPr>
            <w:tcMar>
              <w:top w:type="dxa" w:w="100"/>
              <w:left w:type="dxa" w:w="100"/>
              <w:bottom w:type="dxa" w:w="100"/>
              <w:right w:type="dxa" w:w="100"/>
            </w:tcMar>
            <w:vAlign w:val="center"/>
          </w:tcPr>
          <w:p>
            <w:pPr>
              <w:jc w:val="left"/>
            </w:pPr>
            <w:r>
              <w:t xml:space="preserve">[XX]</w:t>
            </w:r>
          </w:p>
        </w:tc>
        <w:tc>
          <w:tcPr>
            <w:tcMar>
              <w:top w:type="dxa" w:w="100"/>
              <w:left w:type="dxa" w:w="100"/>
              <w:bottom w:type="dxa" w:w="100"/>
              <w:right w:type="dxa" w:w="100"/>
            </w:tcMar>
            <w:vAlign w:val="center"/>
          </w:tcPr>
          <w:p>
            <w:pPr>
              <w:jc w:val="left"/>
            </w:pPr>
            <w:r>
              <w:t xml:space="preserve">[XX.X%]</w:t>
            </w:r>
          </w:p>
        </w:tc>
        <w:tc>
          <w:tcPr>
            <w:tcMar>
              <w:top w:type="dxa" w:w="100"/>
              <w:left w:type="dxa" w:w="100"/>
              <w:bottom w:type="dxa" w:w="100"/>
              <w:right w:type="dxa" w:w="100"/>
            </w:tcMar>
            <w:vAlign w:val="center"/>
          </w:tcPr>
          <w:p>
            <w:pPr>
              <w:jc w:val="left"/>
            </w:pPr>
            <w:r>
              <w:t xml:space="preserve">[$X,XXX]</w:t>
            </w:r>
          </w:p>
        </w:tc>
      </w:tr>
    </w:tbl>
    <w:r>
      <w:br w:type="page"/>
    </w:r>
    <w:p>
      <w:pPr>
        <w:spacing w:after="200" w:line="240"/>
      </w:pPr>
      <w:r>
        <w:t xml:space="preserve">RISK METRICS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ADD8E6" w:val="clear"/>
            <w:tcMar>
              <w:top w:type="dxa" w:w="100"/>
              <w:left w:type="dxa" w:w="100"/>
              <w:bottom w:type="dxa" w:w="100"/>
              <w:right w:type="dxa" w:w="100"/>
            </w:tcMar>
            <w:vAlign w:val="center"/>
          </w:tcPr>
          <w:p>
            <w:pPr>
              <w:jc w:val="center"/>
            </w:pPr>
            <w:r>
              <w:t xml:space="preserve">Metric</w:t>
            </w:r>
          </w:p>
        </w:tc>
        <w:tc>
          <w:tcPr>
            <w:shd w:fill="ADD8E6" w:val="clear"/>
            <w:tcMar>
              <w:top w:type="dxa" w:w="100"/>
              <w:left w:type="dxa" w:w="100"/>
              <w:bottom w:type="dxa" w:w="100"/>
              <w:right w:type="dxa" w:w="100"/>
            </w:tcMar>
            <w:vAlign w:val="center"/>
          </w:tcPr>
          <w:p>
            <w:pPr>
              <w:jc w:val="center"/>
            </w:pPr>
            <w:r>
              <w:t xml:space="preserve">Value</w:t>
            </w:r>
          </w:p>
        </w:tc>
      </w:tr>
      <w:tr>
        <w:tc>
          <w:tcPr>
            <w:tcMar>
              <w:top w:type="dxa" w:w="100"/>
              <w:left w:type="dxa" w:w="100"/>
              <w:bottom w:type="dxa" w:w="100"/>
              <w:right w:type="dxa" w:w="100"/>
            </w:tcMar>
            <w:vAlign w:val="center"/>
          </w:tcPr>
          <w:p>
            <w:pPr>
              <w:jc w:val="left"/>
            </w:pPr>
            <w:r>
              <w:t xml:space="preserve">Maximum Drawdown</w:t>
            </w:r>
          </w:p>
        </w:tc>
        <w:tc>
          <w:tcPr>
            <w:tcMar>
              <w:top w:type="dxa" w:w="100"/>
              <w:left w:type="dxa" w:w="100"/>
              <w:bottom w:type="dxa" w:w="100"/>
              <w:right w:type="dxa" w:w="100"/>
            </w:tcMar>
            <w:vAlign w:val="center"/>
          </w:tcPr>
          <w:p>
            <w:pPr>
              <w:jc w:val="left"/>
            </w:pPr>
            <w:r>
              <w:t xml:space="preserve">[XX.X%]</w:t>
            </w:r>
          </w:p>
        </w:tc>
      </w:tr>
      <w:tr>
        <w:tc>
          <w:tcPr>
            <w:shd w:fill="F5F5F5" w:val="clear"/>
            <w:tcMar>
              <w:top w:type="dxa" w:w="100"/>
              <w:left w:type="dxa" w:w="100"/>
              <w:bottom w:type="dxa" w:w="100"/>
              <w:right w:type="dxa" w:w="100"/>
            </w:tcMar>
            <w:vAlign w:val="center"/>
          </w:tcPr>
          <w:p>
            <w:pPr>
              <w:jc w:val="left"/>
            </w:pPr>
            <w:r>
              <w:t xml:space="preserve">Brier Score</w:t>
            </w:r>
          </w:p>
        </w:tc>
        <w:tc>
          <w:tcPr>
            <w:shd w:fill="F5F5F5" w:val="clear"/>
            <w:tcMar>
              <w:top w:type="dxa" w:w="100"/>
              <w:left w:type="dxa" w:w="100"/>
              <w:bottom w:type="dxa" w:w="100"/>
              <w:right w:type="dxa" w:w="100"/>
            </w:tcMar>
            <w:vAlign w:val="center"/>
          </w:tcPr>
          <w:p>
            <w:pPr>
              <w:jc w:val="left"/>
            </w:pPr>
            <w:r>
              <w:t xml:space="preserve">[0.XXX]</w:t>
            </w:r>
          </w:p>
        </w:tc>
      </w:tr>
      <w:tr>
        <w:tc>
          <w:tcPr>
            <w:tcMar>
              <w:top w:type="dxa" w:w="100"/>
              <w:left w:type="dxa" w:w="100"/>
              <w:bottom w:type="dxa" w:w="100"/>
              <w:right w:type="dxa" w:w="100"/>
            </w:tcMar>
            <w:vAlign w:val="center"/>
          </w:tcPr>
          <w:p>
            <w:pPr>
              <w:jc w:val="left"/>
            </w:pPr>
            <w:r>
              <w:t xml:space="preserve">Largest Single Win</w:t>
            </w:r>
          </w:p>
        </w:tc>
        <w:tc>
          <w:tcPr>
            <w:tcMar>
              <w:top w:type="dxa" w:w="100"/>
              <w:left w:type="dxa" w:w="100"/>
              <w:bottom w:type="dxa" w:w="100"/>
              <w:right w:type="dxa" w:w="100"/>
            </w:tcMar>
            <w:vAlign w:val="center"/>
          </w:tcPr>
          <w:p>
            <w:pPr>
              <w:jc w:val="left"/>
            </w:pPr>
            <w:r>
              <w:t xml:space="preserve">[$XXX]</w:t>
            </w:r>
          </w:p>
        </w:tc>
      </w:tr>
      <w:tr>
        <w:tc>
          <w:tcPr>
            <w:shd w:fill="F5F5F5" w:val="clear"/>
            <w:tcMar>
              <w:top w:type="dxa" w:w="100"/>
              <w:left w:type="dxa" w:w="100"/>
              <w:bottom w:type="dxa" w:w="100"/>
              <w:right w:type="dxa" w:w="100"/>
            </w:tcMar>
            <w:vAlign w:val="center"/>
          </w:tcPr>
          <w:p>
            <w:pPr>
              <w:jc w:val="left"/>
            </w:pPr>
            <w:r>
              <w:t xml:space="preserve">Largest Single Loss</w:t>
            </w:r>
          </w:p>
        </w:tc>
        <w:tc>
          <w:tcPr>
            <w:shd w:fill="F5F5F5" w:val="clear"/>
            <w:tcMar>
              <w:top w:type="dxa" w:w="100"/>
              <w:left w:type="dxa" w:w="100"/>
              <w:bottom w:type="dxa" w:w="100"/>
              <w:right w:type="dxa" w:w="100"/>
            </w:tcMar>
            <w:vAlign w:val="center"/>
          </w:tcPr>
          <w:p>
            <w:pPr>
              <w:jc w:val="left"/>
            </w:pPr>
            <w:r>
              <w:t xml:space="preserve">[$XXX]</w:t>
            </w:r>
          </w:p>
        </w:tc>
      </w:tr>
      <w:tr>
        <w:tc>
          <w:tcPr>
            <w:tcMar>
              <w:top w:type="dxa" w:w="100"/>
              <w:left w:type="dxa" w:w="100"/>
              <w:bottom w:type="dxa" w:w="100"/>
              <w:right w:type="dxa" w:w="100"/>
            </w:tcMar>
            <w:vAlign w:val="center"/>
          </w:tcPr>
          <w:p>
            <w:pPr>
              <w:jc w:val="left"/>
            </w:pPr>
            <w:r>
              <w:t xml:space="preserve">Longest Losing Streak</w:t>
            </w:r>
          </w:p>
        </w:tc>
        <w:tc>
          <w:tcPr>
            <w:tcMar>
              <w:top w:type="dxa" w:w="100"/>
              <w:left w:type="dxa" w:w="100"/>
              <w:bottom w:type="dxa" w:w="100"/>
              <w:right w:type="dxa" w:w="100"/>
            </w:tcMar>
            <w:vAlign w:val="center"/>
          </w:tcPr>
          <w:p>
            <w:pPr>
              <w:jc w:val="left"/>
            </w:pPr>
            <w:r>
              <w:t xml:space="preserve">[X trades]</w:t>
            </w:r>
          </w:p>
        </w:tc>
      </w:tr>
      <w:tr>
        <w:tc>
          <w:tcPr>
            <w:shd w:fill="F5F5F5" w:val="clear"/>
            <w:tcMar>
              <w:top w:type="dxa" w:w="100"/>
              <w:left w:type="dxa" w:w="100"/>
              <w:bottom w:type="dxa" w:w="100"/>
              <w:right w:type="dxa" w:w="100"/>
            </w:tcMar>
            <w:vAlign w:val="center"/>
          </w:tcPr>
          <w:p>
            <w:pPr>
              <w:jc w:val="left"/>
            </w:pPr>
            <w:r>
              <w:t xml:space="preserve">Value at Risk (95%)</w:t>
            </w:r>
          </w:p>
        </w:tc>
        <w:tc>
          <w:tcPr>
            <w:shd w:fill="F5F5F5" w:val="clear"/>
            <w:tcMar>
              <w:top w:type="dxa" w:w="100"/>
              <w:left w:type="dxa" w:w="100"/>
              <w:bottom w:type="dxa" w:w="100"/>
              <w:right w:type="dxa" w:w="100"/>
            </w:tcMar>
            <w:vAlign w:val="center"/>
          </w:tcPr>
          <w:p>
            <w:pPr>
              <w:jc w:val="left"/>
            </w:pPr>
            <w:r>
              <w:t xml:space="preserve">[$XXX]</w:t>
            </w:r>
          </w:p>
        </w:tc>
      </w:tr>
    </w:tbl>
    <w:r>
      <w:br w:type="page"/>
    </w:r>
    <w:p>
      <w:pPr>
        <w:spacing w:after="200" w:line="240"/>
      </w:pPr>
      <w:r>
        <w:t xml:space="preserve">STRATEGY UPDATES</w:t>
      </w:r>
    </w:p>
    <w:p>
      <w:pPr>
        <w:spacing w:after="100" w:line="240"/>
      </w:pPr>
      <w:r>
        <w:t xml:space="preserve">Model Improvements &amp; Changes</w:t>
      </w:r>
    </w:p>
    <w:p>
      <w:pPr>
        <w:spacing w:after="200" w:line="240"/>
      </w:pPr>
      <w:r>
        <w:t xml:space="preserve">[Describe any changes to prediction models, new features, algorithmic improvements, or data enhancements made during Q1 2026. Include details on testing, performance impact, and rollout timelines.]</w:t>
      </w:r>
    </w:p>
    <w:p>
      <w:pPr>
        <w:spacing w:after="100" w:line="240"/>
      </w:pPr>
      <w:r>
        <w:t xml:space="preserve">Issues &amp; Resolutions</w:t>
      </w:r>
    </w:p>
    <w:p>
      <w:pPr>
        <w:spacing w:after="100" w:line="240"/>
      </w:pPr>
      <w:r>
        <w:t xml:space="preserve">[Describe any technical issues, market anomalies, API problems, or trading challenges encountered during the quarter. Explain how each issue was identified and resolved, and any preventative measures implemented.]</w:t>
      </w:r>
    </w:p>
    <w:r>
      <w:br w:type="page"/>
    </w:r>
    <w:p>
      <w:pPr>
        <w:spacing w:after="200" w:line="240"/>
      </w:pPr>
      <w:r>
        <w:t xml:space="preserve">FEE CALCULATION</w:t>
      </w:r>
    </w:p>
    <w:p>
      <w:pPr>
        <w:spacing w:after="100" w:line="240"/>
      </w:pPr>
      <w:r>
        <w:t xml:space="preserve">High-Water Mark Calculation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ADD8E6" w:val="clear"/>
            <w:tcMar>
              <w:top w:type="dxa" w:w="100"/>
              <w:left w:type="dxa" w:w="100"/>
              <w:bottom w:type="dxa" w:w="100"/>
              <w:right w:type="dxa" w:w="100"/>
            </w:tcMar>
            <w:vAlign w:val="center"/>
          </w:tcPr>
          <w:p>
            <w:pPr>
              <w:jc w:val="center"/>
            </w:pPr>
            <w:r>
              <w:t xml:space="preserve">Line Item</w:t>
            </w:r>
          </w:p>
        </w:tc>
        <w:tc>
          <w:tcPr>
            <w:shd w:fill="ADD8E6" w:val="clear"/>
            <w:tcMar>
              <w:top w:type="dxa" w:w="100"/>
              <w:left w:type="dxa" w:w="100"/>
              <w:bottom w:type="dxa" w:w="100"/>
              <w:right w:type="dxa" w:w="100"/>
            </w:tcMar>
            <w:vAlign w:val="center"/>
          </w:tcPr>
          <w:p>
            <w:pPr>
              <w:jc w:val="center"/>
            </w:pPr>
            <w:r>
              <w:t xml:space="preserve">Amount</w:t>
            </w:r>
          </w:p>
        </w:tc>
      </w:tr>
      <w:tr>
        <w:tc>
          <w:tcPr>
            <w:tcMar>
              <w:top w:type="dxa" w:w="100"/>
              <w:left w:type="dxa" w:w="100"/>
              <w:bottom w:type="dxa" w:w="100"/>
              <w:right w:type="dxa" w:w="100"/>
            </w:tcMar>
            <w:vAlign w:val="center"/>
          </w:tcPr>
          <w:p>
            <w:pPr>
              <w:jc w:val="left"/>
            </w:pPr>
            <w:r>
              <w:t xml:space="preserve">Beginning NAV</w:t>
            </w:r>
          </w:p>
        </w:tc>
        <w:tc>
          <w:tcPr>
            <w:tcMar>
              <w:top w:type="dxa" w:w="100"/>
              <w:left w:type="dxa" w:w="100"/>
              <w:bottom w:type="dxa" w:w="100"/>
              <w:right w:type="dxa" w:w="100"/>
            </w:tcMar>
            <w:vAlign w:val="center"/>
          </w:tcPr>
          <w:p>
            <w:pPr>
              <w:jc w:val="left"/>
            </w:pPr>
            <w:r>
              <w:t xml:space="preserve">[PLACEHOLDER]</w:t>
            </w:r>
          </w:p>
        </w:tc>
      </w:tr>
      <w:tr>
        <w:tc>
          <w:tcPr>
            <w:shd w:fill="F5F5F5" w:val="clear"/>
            <w:tcMar>
              <w:top w:type="dxa" w:w="100"/>
              <w:left w:type="dxa" w:w="100"/>
              <w:bottom w:type="dxa" w:w="100"/>
              <w:right w:type="dxa" w:w="100"/>
            </w:tcMar>
            <w:vAlign w:val="center"/>
          </w:tcPr>
          <w:p>
            <w:pPr>
              <w:jc w:val="left"/>
            </w:pPr>
            <w:r>
              <w:t xml:space="preserve">Gross Profit</w:t>
            </w:r>
          </w:p>
        </w:tc>
        <w:tc>
          <w:tcPr>
            <w:shd w:fill="F5F5F5" w:val="clear"/>
            <w:tcMar>
              <w:top w:type="dxa" w:w="100"/>
              <w:left w:type="dxa" w:w="100"/>
              <w:bottom w:type="dxa" w:w="100"/>
              <w:right w:type="dxa" w:w="100"/>
            </w:tcMar>
            <w:vAlign w:val="center"/>
          </w:tcPr>
          <w:p>
            <w:pPr>
              <w:jc w:val="left"/>
            </w:pPr>
            <w:r>
              <w:t xml:space="preserve">[PLACEHOLDER]</w:t>
            </w:r>
          </w:p>
        </w:tc>
      </w:tr>
      <w:tr>
        <w:tc>
          <w:tcPr>
            <w:tcMar>
              <w:top w:type="dxa" w:w="100"/>
              <w:left w:type="dxa" w:w="100"/>
              <w:bottom w:type="dxa" w:w="100"/>
              <w:right w:type="dxa" w:w="100"/>
            </w:tcMar>
            <w:vAlign w:val="center"/>
          </w:tcPr>
          <w:p>
            <w:pPr>
              <w:jc w:val="left"/>
            </w:pPr>
            <w:r>
              <w:t xml:space="preserve">Previous High-Water Mark</w:t>
            </w:r>
          </w:p>
        </w:tc>
        <w:tc>
          <w:tcPr>
            <w:tcMar>
              <w:top w:type="dxa" w:w="100"/>
              <w:left w:type="dxa" w:w="100"/>
              <w:bottom w:type="dxa" w:w="100"/>
              <w:right w:type="dxa" w:w="100"/>
            </w:tcMar>
            <w:vAlign w:val="center"/>
          </w:tcPr>
          <w:p>
            <w:pPr>
              <w:jc w:val="left"/>
            </w:pPr>
            <w:r>
              <w:t xml:space="preserve">[PLACEHOLDER]</w:t>
            </w:r>
          </w:p>
        </w:tc>
      </w:tr>
      <w:tr>
        <w:tc>
          <w:tcPr>
            <w:shd w:fill="F5F5F5" w:val="clear"/>
            <w:tcMar>
              <w:top w:type="dxa" w:w="100"/>
              <w:left w:type="dxa" w:w="100"/>
              <w:bottom w:type="dxa" w:w="100"/>
              <w:right w:type="dxa" w:w="100"/>
            </w:tcMar>
            <w:vAlign w:val="center"/>
          </w:tcPr>
          <w:p>
            <w:pPr>
              <w:jc w:val="left"/>
            </w:pPr>
            <w:r>
              <w:t xml:space="preserve">Current High-Water Mark (Max of Beginning NAV + Profit or Previous HWM)</w:t>
            </w:r>
          </w:p>
        </w:tc>
        <w:tc>
          <w:tcPr>
            <w:shd w:fill="F5F5F5" w:val="clear"/>
            <w:tcMar>
              <w:top w:type="dxa" w:w="100"/>
              <w:left w:type="dxa" w:w="100"/>
              <w:bottom w:type="dxa" w:w="100"/>
              <w:right w:type="dxa" w:w="100"/>
            </w:tcMar>
            <w:vAlign w:val="center"/>
          </w:tcPr>
          <w:p>
            <w:pPr>
              <w:jc w:val="left"/>
            </w:pPr>
            <w:r>
              <w:t xml:space="preserve">[PLACEHOLDER]</w:t>
            </w:r>
          </w:p>
        </w:tc>
      </w:tr>
      <w:tr>
        <w:tc>
          <w:tcPr>
            <w:tcMar>
              <w:top w:type="dxa" w:w="100"/>
              <w:left w:type="dxa" w:w="100"/>
              <w:bottom w:type="dxa" w:w="100"/>
              <w:right w:type="dxa" w:w="100"/>
            </w:tcMar>
            <w:vAlign w:val="center"/>
          </w:tcPr>
          <w:p>
            <w:pPr>
              <w:jc w:val="left"/>
            </w:pPr>
            <w:r>
              <w:t xml:space="preserve">Net Profit Above HWM</w:t>
            </w:r>
          </w:p>
        </w:tc>
        <w:tc>
          <w:tcPr>
            <w:tcMar>
              <w:top w:type="dxa" w:w="100"/>
              <w:left w:type="dxa" w:w="100"/>
              <w:bottom w:type="dxa" w:w="100"/>
              <w:right w:type="dxa" w:w="100"/>
            </w:tcMar>
            <w:vAlign w:val="center"/>
          </w:tcPr>
          <w:p>
            <w:pPr>
              <w:jc w:val="left"/>
            </w:pPr>
            <w:r>
              <w:t xml:space="preserve">[PLACEHOLDER]</w:t>
            </w:r>
          </w:p>
        </w:tc>
      </w:tr>
      <w:tr>
        <w:tc>
          <w:tcPr>
            <w:shd w:fill="F5F5F5" w:val="clear"/>
            <w:tcMar>
              <w:top w:type="dxa" w:w="100"/>
              <w:left w:type="dxa" w:w="100"/>
              <w:bottom w:type="dxa" w:w="100"/>
              <w:right w:type="dxa" w:w="100"/>
            </w:tcMar>
            <w:vAlign w:val="center"/>
          </w:tcPr>
          <w:p>
            <w:pPr>
              <w:jc w:val="left"/>
            </w:pPr>
            <w:r>
              <w:t xml:space="preserve">Performance Fee (30% of Profit Above HWM)</w:t>
            </w:r>
          </w:p>
        </w:tc>
        <w:tc>
          <w:tcPr>
            <w:shd w:fill="F5F5F5" w:val="clear"/>
            <w:tcMar>
              <w:top w:type="dxa" w:w="100"/>
              <w:left w:type="dxa" w:w="100"/>
              <w:bottom w:type="dxa" w:w="100"/>
              <w:right w:type="dxa" w:w="100"/>
            </w:tcMar>
            <w:vAlign w:val="center"/>
          </w:tcPr>
          <w:p>
            <w:pPr>
              <w:jc w:val="left"/>
            </w:pPr>
            <w:r>
              <w:t xml:space="preserve">[PLACEHOLDER]</w:t>
            </w:r>
          </w:p>
        </w:tc>
      </w:tr>
      <w:tr>
        <w:tc>
          <w:tcPr>
            <w:tcMar>
              <w:top w:type="dxa" w:w="100"/>
              <w:left w:type="dxa" w:w="100"/>
              <w:bottom w:type="dxa" w:w="100"/>
              <w:right w:type="dxa" w:w="100"/>
            </w:tcMar>
            <w:vAlign w:val="center"/>
          </w:tcPr>
          <w:p>
            <w:pPr>
              <w:jc w:val="left"/>
            </w:pPr>
            <w:r>
              <w:t xml:space="preserve">Net Profit to Investors</w:t>
            </w:r>
          </w:p>
        </w:tc>
        <w:tc>
          <w:tcPr>
            <w:tcMar>
              <w:top w:type="dxa" w:w="100"/>
              <w:left w:type="dxa" w:w="100"/>
              <w:bottom w:type="dxa" w:w="100"/>
              <w:right w:type="dxa" w:w="100"/>
            </w:tcMar>
            <w:vAlign w:val="center"/>
          </w:tcPr>
          <w:p>
            <w:pPr>
              <w:jc w:val="left"/>
            </w:pPr>
            <w:r>
              <w:t xml:space="preserve">[PLACEHOLDER]</w:t>
            </w:r>
          </w:p>
        </w:tc>
      </w:tr>
      <w:tr>
        <w:tc>
          <w:tcPr>
            <w:shd w:fill="F5F5F5" w:val="clear"/>
            <w:tcMar>
              <w:top w:type="dxa" w:w="100"/>
              <w:left w:type="dxa" w:w="100"/>
              <w:bottom w:type="dxa" w:w="100"/>
              <w:right w:type="dxa" w:w="100"/>
            </w:tcMar>
            <w:vAlign w:val="center"/>
          </w:tcPr>
          <w:p>
            <w:pPr>
              <w:jc w:val="left"/>
            </w:pPr>
            <w:r>
              <w:t xml:space="preserve">Ending NAV</w:t>
            </w:r>
          </w:p>
        </w:tc>
        <w:tc>
          <w:tcPr>
            <w:shd w:fill="F5F5F5" w:val="clear"/>
            <w:tcMar>
              <w:top w:type="dxa" w:w="100"/>
              <w:left w:type="dxa" w:w="100"/>
              <w:bottom w:type="dxa" w:w="100"/>
              <w:right w:type="dxa" w:w="100"/>
            </w:tcMar>
            <w:vAlign w:val="center"/>
          </w:tcPr>
          <w:p>
            <w:pPr>
              <w:jc w:val="left"/>
            </w:pPr>
            <w:r>
              <w:t xml:space="preserve">[PLACEHOLDER]</w:t>
            </w:r>
          </w:p>
        </w:tc>
      </w:tr>
    </w:tbl>
    <w:p>
      <w:pPr>
        <w:spacing w:line="200"/>
      </w:pPr>
    </w:p>
    <w:p>
      <w:pPr>
        <w:spacing w:after="100" w:line="240"/>
      </w:pPr>
      <w:r>
        <w:t xml:space="preserve">Fee Structure Note</w:t>
      </w:r>
    </w:p>
    <w:p>
      <w:pPr>
        <w:spacing w:after="100" w:line="240"/>
      </w:pPr>
      <w:r>
        <w:t xml:space="preserve">The Predictive Alpha Fund charges a 30% performance fee on profits above the high-water mark. The high-water mark is the maximum NAV achieved in any prior period. Investors only pay performance fees when the fund exceeds its previous peak value.</w:t>
      </w:r>
    </w:p>
    <w:r>
      <w:br w:type="page"/>
    </w:r>
    <w:p>
      <w:pPr>
        <w:spacing w:after="200" w:line="240"/>
      </w:pPr>
      <w:r>
        <w:t xml:space="preserve">MARKET OUTLOOK &amp; NEXT QUARTER STRATEGY</w:t>
      </w:r>
    </w:p>
    <w:p>
      <w:pPr>
        <w:spacing w:after="200" w:line="240"/>
      </w:pPr>
      <w:r>
        <w:t xml:space="preserve">[Discuss current market conditions, volatility trends, and macroeconomic factors relevant to prediction markets. Identify upcoming opportunities in key categories (politics, sports, crypto, science/tech, economics). Outline the fund strategy for Q2 2026, including expected focus areas, model adjustments, and risk management approaches.]</w:t>
      </w:r>
    </w:p>
    <w:r>
      <w:br w:type="page"/>
    </w:r>
    <w:p>
      <w:pPr>
        <w:spacing w:after="200" w:line="240"/>
      </w:pPr>
      <w:r>
        <w:t xml:space="preserve">APPENDIX</w:t>
      </w:r>
    </w:p>
    <w:p>
      <w:pPr>
        <w:spacing w:after="100" w:line="240"/>
      </w:pPr>
      <w:r>
        <w:t xml:space="preserve">Disclaimer</w:t>
      </w:r>
    </w:p>
    <w:p>
      <w:pPr>
        <w:spacing w:after="200" w:line="240"/>
      </w:pPr>
      <w:r>
        <w:t xml:space="preserve">Past performance is not indicative of future results. All performance data is based on actual trading results for the period unless otherwise noted. This report contains forward-looking statements subject to risks and uncertainties. Predictive Alpha Fund performance figures are net of all fees and expenses. Investors should carefully review the fund prospectus and investment agreement before investing.</w:t>
      </w:r>
    </w:p>
    <w:p>
      <w:pPr>
        <w:spacing w:after="100" w:line="240"/>
      </w:pPr>
      <w:r>
        <w:t xml:space="preserve">Contact Information</w:t>
      </w:r>
    </w:p>
    <w:p>
      <w:pPr>
        <w:spacing w:after="50" w:line="240"/>
      </w:pPr>
      <w:r>
        <w:t xml:space="preserve">Predictive Alpha Fund</w:t>
      </w:r>
    </w:p>
    <w:p>
      <w:pPr>
        <w:spacing w:after="50" w:line="240"/>
      </w:pPr>
      <w:r>
        <w:t xml:space="preserve">Email: [PLACEHOLDER]</w:t>
      </w:r>
    </w:p>
    <w:p>
      <w:pPr>
        <w:spacing w:after="50" w:line="240"/>
      </w:pPr>
      <w:r>
        <w:t xml:space="preserve">Phone: [PLACEHOLDER]</w:t>
      </w:r>
    </w:p>
    <w:p>
      <w:pPr>
        <w:spacing w:after="50" w:line="240"/>
      </w:pPr>
      <w:r>
        <w:t xml:space="preserve">Website: [PLACEHOLDER]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2026-03-05T20:36:31.914Z</dcterms:created>
  <dcterms:modified xsi:type="dcterms:W3CDTF">2026-03-05T20:36:31.914Z</dcterms:modified>
</cp:coreProperties>
</file>

<file path=docProps/custom.xml><?xml version="1.0" encoding="utf-8"?>
<Properties xmlns="http://schemas.openxmlformats.org/officeDocument/2006/custom-properties" xmlns:vt="http://schemas.openxmlformats.org/officeDocument/2006/docPropsVTypes"/>
</file>