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0"/>
        <w:jc w:val="center"/>
      </w:pPr>
      <w:r>
        <w:t xml:space="preserve">Predictive Alpha Fund</w:t>
      </w:r>
    </w:p>
    <w:p>
      <w:pPr>
        <w:spacing w:after="200"/>
        <w:jc w:val="center"/>
      </w:pPr>
      <w:r>
        <w:t xml:space="preserve">Investor Report</w:t>
      </w:r>
    </w:p>
    <w:p>
      <w:pPr>
        <w:spacing w:after="600"/>
        <w:jc w:val="center"/>
      </w:pPr>
      <w:r>
        <w:t xml:space="preserve">March 2026</w:t>
      </w:r>
    </w:p>
    <w:p/>
    <w:p/>
    <w:p>
      <w:pPr>
        <w:spacing w:after="400"/>
        <w:jc w:val="center"/>
      </w:pPr>
      <w:r>
        <w:t xml:space="preserve">CONFIDENTIAL — For Prospective Investors Only</w:t>
      </w:r>
    </w:p>
    <w:p/>
    <w:p/>
    <w:p>
      <w:pPr>
        <w:spacing w:after="100"/>
        <w:jc w:val="center"/>
      </w:pPr>
      <w:r>
        <w:t xml:space="preserve">Prepared by John Bradley</w:t>
      </w:r>
    </w:p>
    <w:p>
      <w:pPr>
        <w:jc w:val="center"/>
      </w:pPr>
      <w:r>
        <w:t xml:space="preserve">johnhavenbradley@gmail.com</w:t>
      </w:r>
    </w:p>
    <w:r>
      <w:br w:type="page"/>
    </w:r>
    <w:p>
      <w:pPr>
        <w:spacing w:after="240" w:before="240" w:line="230"/>
      </w:pPr>
      <w:r>
        <w:t xml:space="preserve">Important Disclaimers</w:t>
      </w:r>
    </w:p>
    <w:p>
      <w:pPr>
        <w:pBdr>
          <w:top w:val="single" w:color="CCCCCC" w:sz="6" w:space="1"/>
          <w:bottom w:val="single" w:color="CCCCCC" w:sz="6" w:space="1"/>
          <w:left w:val="single" w:color="CCCCCC" w:sz="6" w:space="1"/>
          <w:right w:val="single" w:color="CCCCCC" w:sz="6" w:space="1"/>
        </w:pBdr>
        <w:shd w:fill="FFF9E6" w:val="clear"/>
        <w:spacing w:after="200" w:before="200" w:line="230"/>
      </w:pPr>
      <w:r>
        <w:t xml:space="preserve">IMPORTANT: This document is for informational purposes only and does not constitute an offer to sell or a solicitation of an offer to buy any securities. All performance figures are based on backtested/simulated results and do not represent actual trading. Past performance, whether simulated or actual, does not guarantee future results. Prediction market trading involves substantial risk of loss, including the possible loss of your entire investment. This is a speculative, early-stage strategy. Consult your own financial and legal advisors before investing.</w:t>
      </w:r>
    </w:p>
    <w:r>
      <w:br w:type="page"/>
    </w:r>
    <w:p>
      <w:pPr>
        <w:spacing w:after="240" w:before="200" w:line="230"/>
      </w:pPr>
      <w:r>
        <w:t xml:space="preserve">1. What We Do</w:t>
      </w:r>
    </w:p>
    <w:p>
      <w:pPr>
        <w:spacing w:after="120" w:before="120" w:line="230"/>
        <w:jc w:val="left"/>
      </w:pPr>
      <w:r>
        <w:t xml:space="preserve">We built a system that finds betting odds that are wrong, and bets against them. Think of it like card counting, but for prediction markets.</w:t>
      </w:r>
    </w:p>
    <w:p>
      <w:pPr>
        <w:spacing w:after="120" w:before="120" w:line="230"/>
        <w:jc w:val="left"/>
      </w:pPr>
      <w:r>
        <w:t xml:space="preserve">Prediction markets are websites where people bet on whether something will happen — "Will it rain in New York on Friday?" or "Will the Fed cut interest rates in June?" The price of a bet reflects what the crowd thinks the probability is. If a bet is trading at 60 cents, the crowd thinks there's a 60% chance.</w:t>
      </w:r>
    </w:p>
    <w:p>
      <w:pPr>
        <w:spacing w:after="120" w:before="120" w:line="230"/>
        <w:jc w:val="left"/>
      </w:pPr>
      <w:r>
        <w:t xml:space="preserve">Our system is an AI that reads each question, researches it from scratch, and estimates the real probability — without seeing what the crowd thinks (to avoid being biased by the crowd's opinion). When our estimate is significantly different from the market price, we place a bet. Over hundreds of bets, being slightly more accurate than the crowd compounds into real returns.</w:t>
      </w:r>
    </w:p>
    <w:p>
      <w:pPr>
        <w:spacing w:after="240" w:before="200" w:line="230"/>
      </w:pPr>
      <w:r>
        <w:t xml:space="preserve">2. How It Works</w:t>
      </w:r>
    </w:p>
    <w:p>
      <w:pPr>
        <w:pStyle w:val="ListParagraph"/>
        <w:numPr>
          <w:ilvl w:val="0"/>
          <w:numId w:val="1"/>
        </w:numPr>
        <w:spacing w:after="100" w:before="100" w:line="230"/>
      </w:pPr>
      <w:r>
        <w:t xml:space="preserve">SCAN — Every 5 minutes, 24/7, our system checks 100+ active prediction markets on Polymarket, the world's largest prediction market platform.</w:t>
      </w:r>
    </w:p>
    <w:p>
      <w:pPr>
        <w:pStyle w:val="ListParagraph"/>
        <w:numPr>
          <w:ilvl w:val="0"/>
          <w:numId w:val="1"/>
        </w:numPr>
        <w:spacing w:after="100" w:before="100" w:line="230"/>
      </w:pPr>
      <w:r>
        <w:t xml:space="preserve">ANALYZE — Our AI reads each question and estimates the true probability from first principles. It doesn't see the market price to avoid anchoring bias.</w:t>
      </w:r>
    </w:p>
    <w:p>
      <w:pPr>
        <w:pStyle w:val="ListParagraph"/>
        <w:numPr>
          <w:ilvl w:val="0"/>
          <w:numId w:val="1"/>
        </w:numPr>
        <w:spacing w:after="100" w:before="100" w:line="230"/>
      </w:pPr>
      <w:r>
        <w:t xml:space="preserve">BET — When our estimate disagrees with the crowd by more than a minimum threshold, we place a bet. Bet sizes are calculated using the Kelly Criterion, a mathematical formula that optimizes long-term growth while managing risk.</w:t>
      </w:r>
    </w:p>
    <w:p>
      <w:pPr>
        <w:pStyle w:val="ListParagraph"/>
        <w:numPr>
          <w:ilvl w:val="0"/>
          <w:numId w:val="1"/>
        </w:numPr>
        <w:spacing w:after="100" w:before="100" w:line="230"/>
      </w:pPr>
      <w:r>
        <w:t xml:space="preserve">PROFIT — When markets resolve (the event happens or doesn't), winning bets pay out. Our AI wins more often than it loses, generating consistent returns over time.</w:t>
      </w:r>
    </w:p>
    <w:p>
      <w:pPr>
        <w:spacing w:after="240" w:before="200" w:line="230"/>
      </w:pPr>
      <w:r>
        <w:t xml:space="preserve">3. The Evidence (Backtest Results)</w:t>
      </w:r>
    </w:p>
    <w:p>
      <w:pPr>
        <w:spacing w:after="120" w:before="120" w:line="230"/>
        <w:jc w:val="left"/>
      </w:pPr>
      <w:r>
        <w:t xml:space="preserve">We tested our system on 532 prediction markets that have already resolved — meaning we know the actual outcomes. The AI estimated probabilities without seeing the market price, and we simulated what would have happened if we traded on those estimates.</w:t>
      </w:r>
    </w:p>
    <w:p>
      <w:pPr>
        <w:spacing w:after="100" w:before="200" w:line="230"/>
        <w:jc w:val="left"/>
      </w:pPr>
      <w:r>
        <w:t xml:space="preserve">Key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Metric</w:t>
            </w:r>
          </w:p>
        </w:tc>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Value</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Markets analyzed</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532</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Markets generating a trade signal</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372 (70%)</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Overall win rate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68.5%</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Buy YES win rate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63.3%</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Buy NO win rate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70.2%</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Average profit per trade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+$0.74 on $2.00 position</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Total simulated profit</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+$276.00</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Brier score (probability accuracy)</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0.217 (lower is better; 0.25 = random guessing)</w:t>
            </w:r>
          </w:p>
        </w:tc>
      </w:tr>
    </w:tbl>
    <w:p>
      <w:pPr>
        <w:spacing w:after="120" w:before="200" w:line="230"/>
        <w:jc w:val="left"/>
      </w:pPr>
      <w:r>
        <w:t xml:space="preserve">Note: These are CALIBRATED v2 results using Platt scaling (a statistical technique that corrects for systematic over/under-confidence), validated on a held-out test set that the model never trained on. The uncalibrated win rate was 64.9%; calibration improved it to 68.5%.</w:t>
      </w:r>
    </w:p>
    <w:p>
      <w:pPr>
        <w:spacing w:after="100" w:before="200" w:line="230"/>
        <w:jc w:val="left"/>
      </w:pPr>
      <w:r>
        <w:t xml:space="preserve">[CHART: Equity Curve — Simulated portfolio growth from $75 starting capital across 372 backtest trades]</w:t>
      </w:r>
    </w:p>
    <w:p>
      <w:pPr>
        <w:spacing w:after="100" w:before="120" w:line="230"/>
        <w:jc w:val="left"/>
      </w:pPr>
      <w:r>
        <w:t xml:space="preserve">[CHART: Win Rate by Category — Shows which types of markets our AI performs best on]</w:t>
      </w:r>
    </w:p>
    <w:p>
      <w:pPr>
        <w:spacing w:after="120" w:before="120" w:line="230"/>
        <w:jc w:val="left"/>
      </w:pPr>
      <w:r>
        <w:t xml:space="preserve">[CHART: Monte Carlo Confidence Bands — 10,000 simulated portfolio paths showing range of likely outcomes]</w:t>
      </w:r>
    </w:p>
    <w:r>
      <w:br w:type="page"/>
    </w:r>
    <w:p>
      <w:pPr>
        <w:spacing w:after="240" w:before="200" w:line="230"/>
      </w:pPr>
      <w:r>
        <w:t xml:space="preserve">4. Projected Returns (Monte Carlo Simulation)</w:t>
      </w:r>
    </w:p>
    <w:p>
      <w:pPr>
        <w:spacing w:after="120" w:before="120" w:line="230"/>
        <w:jc w:val="left"/>
      </w:pPr>
      <w:r>
        <w:t xml:space="preserve">To understand the range of possible outcomes, we ran 10,000 computer simulations of the next 12 months, randomly sampling from our actual backtest results each time.</w:t>
      </w:r>
    </w:p>
    <w:p>
      <w:pPr>
        <w:spacing w:after="100" w:before="200" w:line="230"/>
        <w:jc w:val="left"/>
      </w:pPr>
      <w:r>
        <w:t xml:space="preserve">At $75 starting capital: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Scenario</w:t>
            </w:r>
          </w:p>
        </w:tc>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12-Month Value</w:t>
            </w:r>
          </w:p>
        </w:tc>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Return</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Conservative (5th percentile)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$782</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+942%</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Median (most likely)</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$918</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+1,124%</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Optimistic (95th percentile)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$1,054</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+1,305%</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Probability of total loss</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0.0%</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p>
        </w:tc>
      </w:tr>
    </w:tbl>
    <w:p>
      <w:pPr>
        <w:spacing w:after="100" w:before="200" w:line="230"/>
        <w:jc w:val="left"/>
      </w:pPr>
      <w:r>
        <w:t xml:space="preserve">At $10,000 starting capital: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Scenario</w:t>
            </w:r>
          </w:p>
        </w:tc>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12-Month Value</w:t>
            </w:r>
          </w:p>
        </w:tc>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Return</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Conservative (5th percentile)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$33,507</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+235%</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Median (most likely)</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$36,907</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+269%</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Optimistic (95th percentile)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$40,207</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+302%</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Probability of total loss</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0.0%</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p>
        </w:tc>
      </w:tr>
    </w:tbl>
    <w:p>
      <w:pPr>
        <w:spacing w:after="120" w:before="200" w:line="230"/>
        <w:jc w:val="left"/>
      </w:pPr>
      <w:r>
        <w:t xml:space="preserve">IMPORTANT CAVEAT: These projections are based on backtested data, not live trading results. The Monte Carlo simulation assumes future market conditions will resemble the historical period tested. Actual returns could be significantly lower — or the fund could lose money. The 0% total loss probability reflects the simulation parameters, not a guarantee. Treat these as illustrations of potential, not predictions.</w:t>
      </w:r>
    </w:p>
    <w:r>
      <w:br w:type="page"/>
    </w:r>
    <w:p>
      <w:pPr>
        <w:spacing w:after="240" w:before="200" w:line="230"/>
      </w:pPr>
      <w:r>
        <w:t xml:space="preserve">5. Risk Factors</w:t>
      </w:r>
    </w:p>
    <w:p>
      <w:pPr>
        <w:spacing w:after="200" w:before="120" w:line="230"/>
        <w:jc w:val="left"/>
      </w:pPr>
      <w:r>
        <w:t xml:space="preserve">Please read these carefully. This is friends and family money, and we take that responsibility seriously.</w:t>
      </w:r>
    </w:p>
    <w:p>
      <w:pPr>
        <w:pStyle w:val="ListParagraph"/>
        <w:numPr>
          <w:ilvl w:val="0"/>
          <w:numId w:val="1"/>
        </w:numPr>
        <w:spacing w:after="100" w:before="100" w:line="230"/>
      </w:pPr>
      <w:r>
        <w:t xml:space="preserve">Backtest ≠ Live Performance. All numbers in this report come from simulated trading against historical data. Live trading involves real execution challenges — orders may not fill at expected prices, the market may move against us before we can trade, and timing differences could reduce returns significantly.</w:t>
      </w:r>
    </w:p>
    <w:p>
      <w:pPr>
        <w:pStyle w:val="ListParagraph"/>
        <w:numPr>
          <w:ilvl w:val="0"/>
          <w:numId w:val="1"/>
        </w:numPr>
        <w:spacing w:after="100" w:before="100" w:line="230"/>
      </w:pPr>
      <w:r>
        <w:t xml:space="preserve">AI Overconfidence. Our AI's probability accuracy score (Brier score of 0.217) is better than random guessing (0.25) but far from perfect. The calibration that improved our win rate from 64.9% to 68.5% was fitted on historical data and may not hold in the future.</w:t>
      </w:r>
    </w:p>
    <w:p>
      <w:pPr>
        <w:pStyle w:val="ListParagraph"/>
        <w:numPr>
          <w:ilvl w:val="0"/>
          <w:numId w:val="1"/>
        </w:numPr>
        <w:spacing w:after="100" w:before="100" w:line="230"/>
      </w:pPr>
      <w:r>
        <w:t xml:space="preserve">NO-Bias Dependency. A significant portion of our edge comes from betting NO (70.2% win rate vs. 63.3% for YES). This reflects a known bias in prediction markets where people overprice exciting outcomes. As more AI traders enter the market, this bias could diminish.</w:t>
      </w:r>
    </w:p>
    <w:p>
      <w:pPr>
        <w:pStyle w:val="ListParagraph"/>
        <w:numPr>
          <w:ilvl w:val="0"/>
          <w:numId w:val="1"/>
        </w:numPr>
        <w:spacing w:after="100" w:before="100" w:line="230"/>
      </w:pPr>
      <w:r>
        <w:t xml:space="preserve">Capital Concentration. At current capital levels ($75), the system deploys most of its capital across many small positions. One bad streak could significantly impact returns.</w:t>
      </w:r>
    </w:p>
    <w:p>
      <w:pPr>
        <w:pStyle w:val="ListParagraph"/>
        <w:numPr>
          <w:ilvl w:val="0"/>
          <w:numId w:val="1"/>
        </w:numPr>
        <w:spacing w:after="100" w:before="100" w:line="230"/>
      </w:pPr>
      <w:r>
        <w:t xml:space="preserve">Resolution Timing. Some prediction markets take months to resolve. Capital locked in long-duration markets cannot be redeployed elsewhere, reducing overall returns.</w:t>
      </w:r>
    </w:p>
    <w:p>
      <w:pPr>
        <w:pStyle w:val="ListParagraph"/>
        <w:numPr>
          <w:ilvl w:val="0"/>
          <w:numId w:val="1"/>
        </w:numPr>
        <w:spacing w:after="100" w:before="100" w:line="230"/>
      </w:pPr>
      <w:r>
        <w:t xml:space="preserve">API and Infrastructure Costs. Running the system costs approximately $20-30 per month (cloud server + AI API calls). At small capital levels, these costs are a meaningful drag on returns.</w:t>
      </w:r>
    </w:p>
    <w:p>
      <w:pPr>
        <w:pStyle w:val="ListParagraph"/>
        <w:numPr>
          <w:ilvl w:val="0"/>
          <w:numId w:val="1"/>
        </w:numPr>
        <w:spacing w:after="100" w:before="100" w:line="230"/>
      </w:pPr>
      <w:r>
        <w:t xml:space="preserve">Taker Fees. Polymarket charges taker fees that eat into our edge, particularly on markets near 50/50 pricing. Fee structure: fee = price × (1 - price) × rate.</w:t>
      </w:r>
    </w:p>
    <w:p>
      <w:pPr>
        <w:pStyle w:val="ListParagraph"/>
        <w:numPr>
          <w:ilvl w:val="0"/>
          <w:numId w:val="1"/>
        </w:numPr>
        <w:spacing w:after="100" w:before="100" w:line="230"/>
      </w:pPr>
      <w:r>
        <w:t xml:space="preserve">Competitive Pressure. The prediction market bot ecosystem is growing rapidly. OpenClaw reportedly earned $115K in one week. Only about 0.5% of Polymarket users earn more than $1,000. Our edge must be continuously maintained.</w:t>
      </w:r>
    </w:p>
    <w:p>
      <w:pPr>
        <w:pStyle w:val="ListParagraph"/>
        <w:numPr>
          <w:ilvl w:val="0"/>
          <w:numId w:val="1"/>
        </w:numPr>
        <w:spacing w:after="100" w:before="100" w:line="230"/>
      </w:pPr>
      <w:r>
        <w:t xml:space="preserve">Arbitrage vs. Forecasting. Research shows most profitable bots use mechanical arbitrage, not AI forecasting. Our forecasting approach is differentiated but unproven at scale.</w:t>
      </w:r>
    </w:p>
    <w:p>
      <w:pPr>
        <w:pStyle w:val="ListParagraph"/>
        <w:numPr>
          <w:ilvl w:val="0"/>
          <w:numId w:val="1"/>
        </w:numPr>
        <w:spacing w:after="100" w:before="100" w:line="230"/>
      </w:pPr>
      <w:r>
        <w:t xml:space="preserve">Category Limitations. Our system performs best on political and weather markets, and avoids crypto, sports, and Fed rate markets. This reduces the number of trading opportunities.</w:t>
      </w:r>
    </w:p>
    <w:p>
      <w:pPr>
        <w:pStyle w:val="ListParagraph"/>
        <w:numPr>
          <w:ilvl w:val="0"/>
          <w:numId w:val="1"/>
        </w:numPr>
        <w:spacing w:after="100" w:before="100" w:line="230"/>
      </w:pPr>
      <w:r>
        <w:t xml:space="preserve">Platform Risk. Polymarket is a crypto-based platform with CFTC regulatory history. It could face further regulatory action, technical failures, or liquidity problems.</w:t>
      </w:r>
    </w:p>
    <w:p>
      <w:pPr>
        <w:pStyle w:val="ListParagraph"/>
        <w:numPr>
          <w:ilvl w:val="0"/>
          <w:numId w:val="1"/>
        </w:numPr>
        <w:spacing w:after="100" w:before="100" w:line="230"/>
      </w:pPr>
      <w:r>
        <w:t xml:space="preserve">No Live Track Record. As of March 2026, we have NOT executed real trades with real money. This is the single biggest risk factor. Until we have a live track record, all performance claims are theoretical.</w:t>
      </w:r>
    </w:p>
    <w:r>
      <w:br w:type="page"/>
    </w:r>
    <w:p>
      <w:pPr>
        <w:spacing w:after="240" w:before="200" w:line="230"/>
      </w:pPr>
      <w:r>
        <w:t xml:space="preserve">6. Fund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Term</w:t>
            </w:r>
          </w:p>
        </w:tc>
        <w:tc>
          <w:tcPr>
            <w:tcBorders>
              <w:top w:val="single" w:color="CCCCCC" w:sz="6" w:space="1"/>
              <w:left w:val="single" w:color="CCCCCC" w:sz="6" w:space="1"/>
              <w:bottom w:val="single" w:color="CCCCCC" w:sz="6" w:space="1"/>
              <w:right w:val="single" w:color="CCCCCC" w:sz="6" w:space="1"/>
            </w:tcBorders>
            <w:shd w:fill="D5E8F0" w:val="clear"/>
            <w:tcMar>
              <w:top w:type="dxa" w:w="80"/>
              <w:left w:type="dxa" w:w="80"/>
              <w:bottom w:type="dxa" w:w="80"/>
              <w:right w:type="dxa" w:w="80"/>
            </w:tcMar>
          </w:tcPr>
          <w:p>
            <w:pPr>
              <w:jc w:val="center"/>
            </w:pPr>
            <w:r>
              <w:t xml:space="preserve">Detail</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Entity</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LLC taxed as partnership</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Offering</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Reg D 506(b) — friends and family only</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Management Fee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0% (we don't charge for managing your money)</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Performance Fee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30% of profits above high-water mark</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Minimum Investment</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$1,000</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Lock-up Period</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90 days</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Withdrawal Notice</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30 days</w:t>
            </w:r>
          </w:p>
        </w:tc>
      </w:tr>
      <w:tr>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Withdrawal Windows</w:t>
            </w:r>
          </w:p>
        </w:tc>
        <w:tc>
          <w:tcPr>
            <w:tcBorders>
              <w:top w:val="single" w:color="CCCCCC" w:sz="6" w:space="1"/>
              <w:left w:val="single" w:color="CCCCCC" w:sz="6" w:space="1"/>
              <w:bottom w:val="single" w:color="CCCCCC" w:sz="6" w:space="1"/>
              <w:right w:val="single" w:color="CCCCCC" w:sz="6" w:space="1"/>
            </w:tcBorders>
            <w:tcMar>
              <w:top w:type="dxa" w:w="80"/>
              <w:left w:type="dxa" w:w="80"/>
              <w:bottom w:type="dxa" w:w="80"/>
              <w:right w:type="dxa" w:w="80"/>
            </w:tcMar>
          </w:tcPr>
          <w:p>
            <w:pPr>
              <w:jc w:val="left"/>
            </w:pPr>
            <w:r>
              <w:t xml:space="preserve">Quarterly</w:t>
            </w:r>
          </w:p>
        </w:tc>
      </w:tr>
    </w:tbl>
    <w:p>
      <w:pPr>
        <w:spacing w:after="120" w:before="200" w:line="230"/>
        <w:jc w:val="left"/>
      </w:pPr>
      <w:r>
        <w:t xml:space="preserve">The high-water mark protects you. If the fund drops from $12,000 to $10,000 and then recovers to $12,000, we earn nothing on the recovery. We only earn our 30% on NEW profits above the previous peak.</w:t>
      </w:r>
    </w:p>
    <w:p>
      <w:pPr>
        <w:spacing w:after="120" w:before="100" w:line="230"/>
        <w:jc w:val="left"/>
      </w:pPr>
      <w:r>
        <w:t xml:space="preserve">You invest $5,000. After 6 months, it grows to $7,500. Your profit is $2,500. Our performance fee is 30% × $2,500 = $750. Your net profit: $1,750 (35% return). If the fund then drops to $6,000, we earn nothing until it passes $7,500 again.</w:t>
      </w:r>
    </w:p>
    <w:r>
      <w:br w:type="page"/>
    </w:r>
    <w:p>
      <w:pPr>
        <w:spacing w:after="240" w:before="200" w:line="230"/>
      </w:pPr>
      <w:r>
        <w:t xml:space="preserve">7. About the Manager</w:t>
      </w:r>
    </w:p>
    <w:p>
      <w:pPr>
        <w:spacing w:after="120" w:before="120" w:line="230"/>
        <w:jc w:val="left"/>
      </w:pPr>
      <w:r>
        <w:t xml:space="preserve">John Bradley is the sole manager and developer of Predictive Alpha Fund. John built the entire trading system — from the AI probability estimation engine to the automated execution infrastructure — and manages the fund's operations, risk management, and investor relations.</w:t>
      </w:r>
    </w:p>
    <w:p>
      <w:pPr>
        <w:spacing w:after="120" w:before="120" w:line="230"/>
        <w:jc w:val="left"/>
      </w:pPr>
      <w:r>
        <w:t xml:space="preserve">Contact: johnhavenbradley@gmail.com</w:t>
      </w:r>
    </w:p>
    <w:p>
      <w:pPr>
        <w:spacing w:after="240" w:before="200" w:line="230"/>
      </w:pPr>
      <w:r>
        <w:t xml:space="preserve">8. Frequently Asked Questions</w:t>
      </w:r>
    </w:p>
    <w:p>
      <w:pPr>
        <w:spacing w:after="240" w:before="240" w:line="230"/>
      </w:pPr>
      <w:r>
        <w:t xml:space="preserve">Q: "How can an AI predict things?"</w:t>
      </w:r>
    </w:p>
    <w:p>
      <w:pPr>
        <w:spacing w:after="120" w:before="120" w:line="230"/>
        <w:jc w:val="left"/>
      </w:pPr>
      <w:r>
        <w:t xml:space="preserve">The AI doesn't predict the future — it estimates probabilities more carefully than the average market participant. By reading questions thoroughly and reasoning through base rates, historical patterns, and relevant evidence without emotional bias, it produces probability estimates that are slightly more accurate than the crowd's consensus. Over hundreds of bets, being slightly better than average compounds into meaningful returns.</w:t>
      </w:r>
    </w:p>
    <w:p>
      <w:pPr>
        <w:spacing w:after="240" w:before="240" w:line="230"/>
      </w:pPr>
      <w:r>
        <w:t xml:space="preserve">Q: "What if you lose my money?"</w:t>
      </w:r>
    </w:p>
    <w:p>
      <w:pPr>
        <w:spacing w:after="120" w:before="120" w:line="230"/>
        <w:jc w:val="left"/>
      </w:pPr>
      <w:r>
        <w:t xml:space="preserve">This is a real risk, and we want to be upfront about it. The fund could lose money, including your entire investment. We have safety rails in place — daily loss limits ($10/day), per-trade caps ($5 max), and an emergency kill switch. But prediction market trading is inherently speculative. Only invest money you can truly afford to lose.</w:t>
      </w:r>
    </w:p>
    <w:p>
      <w:pPr>
        <w:spacing w:after="240" w:before="240" w:line="230"/>
      </w:pPr>
      <w:r>
        <w:t xml:space="preserve">Q: "How do I get my money back?"</w:t>
      </w:r>
    </w:p>
    <w:p>
      <w:pPr>
        <w:spacing w:after="120" w:before="120" w:line="230"/>
        <w:jc w:val="left"/>
      </w:pPr>
      <w:r>
        <w:t xml:space="preserve">After the 90-day lock-up period, you can request a withdrawal with 30 days notice. Withdrawals are processed quarterly. In practice, if you need your money back urgently, we'll work with you — but the formal terms exist to protect all investors from sudden liquidity demands.</w:t>
      </w:r>
    </w:p>
    <w:p>
      <w:pPr>
        <w:spacing w:after="240" w:before="240" w:line="230"/>
      </w:pPr>
      <w:r>
        <w:t xml:space="preserve">Q: "Is this legal?"</w:t>
      </w:r>
    </w:p>
    <w:p>
      <w:pPr>
        <w:spacing w:after="120" w:before="120" w:line="230"/>
        <w:jc w:val="left"/>
      </w:pPr>
      <w:r>
        <w:t xml:space="preserve">Yes, with important caveats. We're structured as an LLC under Reg D 506(b), which allows us to raise capital from friends and family. Prediction market trading is regulated by the CFTC, and we operate under the Rule 4.13 exemption for small pools. However, the regulatory landscape for prediction markets is still evolving, and tax treatment of gains is unsettled. We strongly recommend consulting your own legal and tax advisors.</w:t>
      </w:r>
    </w:p>
    <w:p>
      <w:pPr>
        <w:spacing w:after="240" w:before="240" w:line="230"/>
      </w:pPr>
      <w:r>
        <w:t xml:space="preserve">Q: "What's your track record?"</w:t>
      </w:r>
    </w:p>
    <w:p>
      <w:pPr>
        <w:spacing w:after="120" w:before="120" w:line="230"/>
        <w:jc w:val="left"/>
      </w:pPr>
      <w:r>
        <w:t xml:space="preserve">We have backtested results (68.5% win rate across 532 markets) but NO live trading track record yet. Live trading is scheduled to begin in March 2026. We will share monthly performance reports with all investors. We believe in radical transparency — you'll see every trade, every win, and every loss.</w:t>
      </w:r>
    </w:p>
    <w:r>
      <w:br w:type="page"/>
    </w:r>
    <w:p>
      <w:pPr>
        <w:spacing w:after="240" w:before="200" w:line="230"/>
      </w:pPr>
      <w:r>
        <w:t xml:space="preserve">Legal Disclaimers</w:t>
      </w:r>
    </w:p>
    <w:p>
      <w:pPr>
        <w:spacing w:after="120" w:before="100" w:line="230"/>
        <w:jc w:val="left"/>
      </w:pPr>
      <w:r>
        <w:t xml:space="preserve">This document does not constitute an offer to sell or a solicitation of an offer to buy any securities. No offer to purchase securities will be made or accepted prior to receipt by the offeree of a final prospectus or other offering document.</w:t>
      </w:r>
    </w:p>
    <w:p>
      <w:pPr>
        <w:spacing w:after="120" w:before="100" w:line="230"/>
        <w:jc w:val="left"/>
      </w:pPr>
      <w:r>
        <w:t xml:space="preserve">All performance results shown in this document are HYPOTHETICAL and BACKTESTED. They are not actual trading results and do not represent the performance of any actual fund. Backtested results are subject to the limitation that they are developed with the benefit of hindsight.</w:t>
      </w:r>
    </w:p>
    <w:p>
      <w:pPr>
        <w:spacing w:after="120" w:before="100" w:line="230"/>
        <w:jc w:val="left"/>
      </w:pPr>
      <w:r>
        <w:t xml:space="preserve">Past performance, whether actual or simulated, does not guarantee or indicate future results. Investment return and principal value will fluctuate, so that an investor's units, when redeemed, may be worth more or less than their original cost.</w:t>
      </w:r>
    </w:p>
    <w:p>
      <w:pPr>
        <w:spacing w:after="120" w:before="100" w:line="230"/>
        <w:jc w:val="left"/>
      </w:pPr>
      <w:r>
        <w:t xml:space="preserve">CFTC Disclosure: Prediction market contracts referenced in this document are event contracts and are considered swaps under the Commodity Exchange Act. Trading in such contracts is speculative and is suitable only for sophisticated investors who fully understand and are willing to assume the risks.</w:t>
      </w:r>
    </w:p>
    <w:p>
      <w:pPr>
        <w:spacing w:after="120" w:before="100" w:line="230"/>
        <w:jc w:val="left"/>
      </w:pPr>
      <w:r>
        <w:t xml:space="preserve">These materials have not been reviewed, approved, or endorsed by the U.S. Securities and Exchange Commission, the Commodity Futures Trading Commission, or any other governmental authority.</w:t>
      </w:r>
    </w:p>
    <w:p>
      <w:pPr>
        <w:spacing w:after="120" w:before="100" w:line="230"/>
        <w:jc w:val="left"/>
      </w:pPr>
      <w:r>
        <w:t xml:space="preserve">The tax treatment of prediction market gains is unsettled. Investors should consult their own tax advisors regarding the federal, state, and local tax consequences of purchasing or selling event contracts.</w:t>
      </w:r>
    </w:p>
    <w:p>
      <w:pPr>
        <w:spacing w:after="100" w:before="100" w:line="230"/>
        <w:jc w:val="left"/>
      </w:pPr>
      <w:r>
        <w:t xml:space="preserve">TEMPLATE NOTICE: This document should be reviewed by a securities attorney licensed to practice in your jurisdiction before use in any offering.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t xml:space="preserve">Predictive Alpha Fund — Investor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2026-03-05T22:03:08.180Z</dcterms:created>
  <dcterms:modified xsi:type="dcterms:W3CDTF">2026-03-05T22:03:08.180Z</dcterms:modified>
</cp:coreProperties>
</file>

<file path=docProps/custom.xml><?xml version="1.0" encoding="utf-8"?>
<Properties xmlns="http://schemas.openxmlformats.org/officeDocument/2006/custom-properties" xmlns:vt="http://schemas.openxmlformats.org/officeDocument/2006/docPropsVTypes"/>
</file>